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DA455F5" w14:textId="77777777" w:rsidR="002D7D9E" w:rsidRPr="00F51544" w:rsidRDefault="00F51544">
      <w:pPr>
        <w:jc w:val="both"/>
        <w:rPr>
          <w:rFonts w:ascii="Open Sans" w:eastAsia="Open Sans" w:hAnsi="Open Sans" w:cs="Open Sans"/>
          <w:b/>
          <w:sz w:val="24"/>
          <w:szCs w:val="24"/>
        </w:rPr>
      </w:pPr>
      <w:r w:rsidRPr="00F51544">
        <w:rPr>
          <w:rFonts w:ascii="Open Sans" w:eastAsia="Open Sans" w:hAnsi="Open Sans" w:cs="Open Sans"/>
          <w:b/>
          <w:sz w:val="24"/>
          <w:szCs w:val="24"/>
        </w:rPr>
        <w:t>Către:</w:t>
      </w:r>
    </w:p>
    <w:p w14:paraId="2482A3AC" w14:textId="77777777" w:rsidR="002D7D9E" w:rsidRPr="00F51544" w:rsidRDefault="00F51544">
      <w:pPr>
        <w:spacing w:line="240" w:lineRule="auto"/>
        <w:jc w:val="both"/>
        <w:rPr>
          <w:rFonts w:ascii="Open Sans" w:eastAsia="Open Sans" w:hAnsi="Open Sans" w:cs="Open Sans"/>
          <w:b/>
          <w:sz w:val="24"/>
          <w:szCs w:val="24"/>
        </w:rPr>
      </w:pPr>
      <w:r w:rsidRPr="00F51544">
        <w:rPr>
          <w:rFonts w:ascii="Open Sans" w:hAnsi="Open Sans" w:cs="Open Sans"/>
          <w:b/>
          <w:sz w:val="24"/>
          <w:szCs w:val="24"/>
        </w:rPr>
        <w:t>Grefa Curții de Justiție a Uniunii Europene</w:t>
      </w:r>
    </w:p>
    <w:p w14:paraId="42CDC724" w14:textId="77777777" w:rsidR="002D7D9E" w:rsidRPr="00F51544" w:rsidRDefault="00F51544">
      <w:pPr>
        <w:spacing w:line="240" w:lineRule="auto"/>
        <w:jc w:val="both"/>
        <w:rPr>
          <w:rFonts w:ascii="Open Sans" w:eastAsia="Open Sans" w:hAnsi="Open Sans" w:cs="Open Sans"/>
          <w:b/>
          <w:sz w:val="24"/>
          <w:szCs w:val="24"/>
        </w:rPr>
      </w:pPr>
      <w:r w:rsidRPr="00F51544">
        <w:rPr>
          <w:rFonts w:ascii="Open Sans" w:eastAsia="Open Sans" w:hAnsi="Open Sans" w:cs="Open Sans"/>
          <w:b/>
          <w:sz w:val="24"/>
          <w:szCs w:val="24"/>
        </w:rPr>
        <w:t>L-2925 Luxemburg</w:t>
      </w:r>
    </w:p>
    <w:p w14:paraId="6B5D78C2" w14:textId="77777777" w:rsidR="002D7D9E" w:rsidRPr="00F51544" w:rsidRDefault="00F51544">
      <w:pPr>
        <w:spacing w:after="240"/>
        <w:jc w:val="both"/>
        <w:rPr>
          <w:rFonts w:ascii="Open Sans" w:eastAsia="Open Sans" w:hAnsi="Open Sans" w:cs="Open Sans"/>
          <w:b/>
          <w:sz w:val="24"/>
          <w:szCs w:val="24"/>
        </w:rPr>
      </w:pPr>
      <w:r w:rsidRPr="00F51544">
        <w:rPr>
          <w:rFonts w:ascii="Open Sans" w:eastAsia="Open Sans" w:hAnsi="Open Sans" w:cs="Open Sans"/>
          <w:b/>
          <w:sz w:val="24"/>
          <w:szCs w:val="24"/>
        </w:rPr>
        <w:t xml:space="preserve">E-mail: </w:t>
      </w:r>
      <w:hyperlink r:id="rId7">
        <w:r w:rsidR="002D7D9E" w:rsidRPr="00F51544">
          <w:rPr>
            <w:rFonts w:ascii="Open Sans" w:eastAsia="Open Sans" w:hAnsi="Open Sans" w:cs="Open Sans"/>
            <w:b/>
            <w:color w:val="1155CC"/>
            <w:sz w:val="24"/>
            <w:szCs w:val="24"/>
            <w:u w:val="single"/>
          </w:rPr>
          <w:t>ECJ-Registry@curia.europa.eu</w:t>
        </w:r>
      </w:hyperlink>
      <w:r w:rsidRPr="00F51544">
        <w:rPr>
          <w:rFonts w:ascii="Open Sans" w:eastAsia="Open Sans" w:hAnsi="Open Sans" w:cs="Open Sans"/>
          <w:b/>
          <w:sz w:val="24"/>
          <w:szCs w:val="24"/>
        </w:rPr>
        <w:t xml:space="preserve"> </w:t>
      </w:r>
    </w:p>
    <w:p w14:paraId="7BEE8BA8" w14:textId="77777777" w:rsidR="002D7D9E" w:rsidRPr="00F51544" w:rsidRDefault="00F51544">
      <w:pPr>
        <w:spacing w:before="240" w:after="240"/>
        <w:jc w:val="both"/>
        <w:rPr>
          <w:rFonts w:ascii="Open Sans" w:eastAsia="Open Sans" w:hAnsi="Open Sans" w:cs="Open Sans"/>
          <w:b/>
          <w:sz w:val="24"/>
          <w:szCs w:val="24"/>
        </w:rPr>
      </w:pPr>
      <w:r w:rsidRPr="00F51544">
        <w:rPr>
          <w:rFonts w:ascii="Open Sans" w:hAnsi="Open Sans" w:cs="Open Sans"/>
          <w:b/>
          <w:sz w:val="24"/>
          <w:szCs w:val="24"/>
        </w:rPr>
        <w:t xml:space="preserve">Subiect: Contribuție </w:t>
      </w:r>
      <w:r w:rsidRPr="00F51544">
        <w:rPr>
          <w:rFonts w:ascii="Open Sans" w:eastAsia="Open Sans" w:hAnsi="Open Sans" w:cs="Open Sans"/>
          <w:b/>
          <w:i/>
          <w:sz w:val="24"/>
          <w:szCs w:val="24"/>
        </w:rPr>
        <w:t>Amicus curiae</w:t>
      </w:r>
      <w:r w:rsidRPr="00F51544">
        <w:rPr>
          <w:rFonts w:ascii="Open Sans" w:eastAsia="Open Sans" w:hAnsi="Open Sans" w:cs="Open Sans"/>
          <w:b/>
          <w:sz w:val="24"/>
          <w:szCs w:val="24"/>
        </w:rPr>
        <w:t xml:space="preserve"> – Cauza C-19/23, Regatul Danemarcei și Regatul Suediei împotriva Parlamentului European și Consiliului Uniunii Europene (Directiva (UE) 2022/2041 privind salariile minime adecvate în Uniunea Europeană)</w:t>
      </w:r>
    </w:p>
    <w:p w14:paraId="09709C81" w14:textId="77777777" w:rsidR="002D7D9E" w:rsidRPr="00F51544" w:rsidRDefault="00F51544">
      <w:pPr>
        <w:spacing w:before="240" w:after="240"/>
        <w:jc w:val="both"/>
        <w:rPr>
          <w:rFonts w:ascii="Open Sans" w:eastAsia="Open Sans" w:hAnsi="Open Sans" w:cs="Open Sans"/>
          <w:sz w:val="24"/>
          <w:szCs w:val="24"/>
        </w:rPr>
      </w:pPr>
      <w:r w:rsidRPr="00F51544">
        <w:rPr>
          <w:rFonts w:ascii="Open Sans" w:eastAsia="Open Sans" w:hAnsi="Open Sans" w:cs="Open Sans"/>
          <w:sz w:val="24"/>
          <w:szCs w:val="24"/>
        </w:rPr>
        <w:t>Blocul Național Sindical (BNS), confederație sindicală reprezentativă la nivel național din România, afiliată la Confederația Europeană a Sindicatelor (ETUC), își exprimă prin prezenta poziția cu privire la cauza C-19/23, aflată pe rolul Curții de Justiție a Uniunii Europene. BNS transmite această contribuție cu titlu informativ (</w:t>
      </w:r>
      <w:r w:rsidRPr="00F51544">
        <w:rPr>
          <w:rFonts w:ascii="Open Sans" w:eastAsia="Open Sans" w:hAnsi="Open Sans" w:cs="Open Sans"/>
          <w:i/>
          <w:sz w:val="24"/>
          <w:szCs w:val="24"/>
        </w:rPr>
        <w:t>amicus curiae</w:t>
      </w:r>
      <w:r w:rsidRPr="00F51544">
        <w:rPr>
          <w:rFonts w:ascii="Open Sans" w:eastAsia="Open Sans" w:hAnsi="Open Sans" w:cs="Open Sans"/>
          <w:sz w:val="24"/>
          <w:szCs w:val="24"/>
        </w:rPr>
        <w:t>), fără intenția de a dobândi calitatea de parte în cauză, în scopul de a aduce în atenția Curții perspectiva partenerilor sociali asupra implicațiilor sociale, economice și juridice ale Directivei (UE) 2022/2041 privind salariile minime adecvate în Uniunea Europeană.</w:t>
      </w:r>
    </w:p>
    <w:p w14:paraId="4030A6B4" w14:textId="77777777" w:rsidR="002D7D9E" w:rsidRPr="00F51544" w:rsidRDefault="00F51544">
      <w:pPr>
        <w:spacing w:before="240" w:after="240"/>
        <w:jc w:val="both"/>
        <w:rPr>
          <w:rFonts w:ascii="Open Sans" w:eastAsia="Open Sans" w:hAnsi="Open Sans" w:cs="Open Sans"/>
          <w:sz w:val="24"/>
          <w:szCs w:val="24"/>
        </w:rPr>
      </w:pPr>
      <w:r w:rsidRPr="00F51544">
        <w:rPr>
          <w:rFonts w:ascii="Open Sans" w:eastAsia="Open Sans" w:hAnsi="Open Sans" w:cs="Open Sans"/>
          <w:sz w:val="24"/>
          <w:szCs w:val="24"/>
        </w:rPr>
        <w:t>Considerăm că această directivă reprezintă un instrument esențial pentru realizarea obiectivelor stabilite prin articolele 3 și 151–153 din Tratatul privind Funcționarea Uniunii Europene, contribuind la îmbunătățirea condițiilor de trai și de muncă, la reducerea disparităților salariale și la consolidarea dialogului social.</w:t>
      </w:r>
    </w:p>
    <w:p w14:paraId="257816D1" w14:textId="77777777" w:rsidR="002D7D9E" w:rsidRPr="00F51544" w:rsidRDefault="00F51544">
      <w:pPr>
        <w:spacing w:before="240" w:after="240"/>
        <w:jc w:val="both"/>
        <w:rPr>
          <w:rFonts w:ascii="Open Sans" w:eastAsia="Open Sans" w:hAnsi="Open Sans" w:cs="Open Sans"/>
          <w:sz w:val="24"/>
          <w:szCs w:val="24"/>
        </w:rPr>
      </w:pPr>
      <w:r w:rsidRPr="00F51544">
        <w:rPr>
          <w:rFonts w:ascii="Open Sans" w:eastAsia="Open Sans" w:hAnsi="Open Sans" w:cs="Open Sans"/>
          <w:sz w:val="24"/>
          <w:szCs w:val="24"/>
        </w:rPr>
        <w:t>În sprijinul acestei poziții, redăm mai jos o serie de argumente și considerații juridice și sociale care reflectă poziția BNS, cu privire la necesitatea menținerii acestei directive, fiind în deplină conformitate cu tratatele și cu angajamentele internaționale asumate de statele membre, inclusiv România.</w:t>
      </w:r>
    </w:p>
    <w:p w14:paraId="0B101816" w14:textId="77777777" w:rsidR="002D7D9E" w:rsidRPr="00F51544" w:rsidRDefault="00F51544">
      <w:pPr>
        <w:spacing w:before="240" w:after="240"/>
        <w:jc w:val="both"/>
        <w:rPr>
          <w:rFonts w:ascii="Open Sans" w:eastAsia="Open Sans" w:hAnsi="Open Sans" w:cs="Open Sans"/>
          <w:sz w:val="24"/>
          <w:szCs w:val="24"/>
        </w:rPr>
      </w:pPr>
      <w:r w:rsidRPr="00F51544">
        <w:rPr>
          <w:rFonts w:ascii="Open Sans" w:eastAsia="Open Sans" w:hAnsi="Open Sans" w:cs="Open Sans"/>
          <w:sz w:val="24"/>
          <w:szCs w:val="24"/>
        </w:rPr>
        <w:t>Sperăm că argumentele noastre vor putea contribui la reflectarea echilibrată asupra importanței sociale și juridice a acestei directive, al cărei scop este protecția lucrătorilor e în Uniunea Europeană.</w:t>
      </w:r>
    </w:p>
    <w:p w14:paraId="0378B466" w14:textId="77777777" w:rsidR="002D7D9E" w:rsidRPr="00F51544" w:rsidRDefault="00F51544">
      <w:pPr>
        <w:spacing w:before="240" w:after="240"/>
        <w:jc w:val="center"/>
        <w:rPr>
          <w:rFonts w:ascii="Open Sans" w:eastAsia="Open Sans" w:hAnsi="Open Sans" w:cs="Open Sans"/>
          <w:b/>
          <w:sz w:val="24"/>
          <w:szCs w:val="24"/>
        </w:rPr>
      </w:pPr>
      <w:r w:rsidRPr="00F51544">
        <w:rPr>
          <w:rFonts w:ascii="Open Sans" w:hAnsi="Open Sans" w:cs="Open Sans"/>
          <w:b/>
          <w:sz w:val="24"/>
          <w:szCs w:val="24"/>
        </w:rPr>
        <w:t xml:space="preserve"> Dumitru Costin</w:t>
      </w:r>
      <w:r w:rsidRPr="00F51544">
        <w:rPr>
          <w:rFonts w:ascii="Open Sans" w:hAnsi="Open Sans" w:cs="Open Sans"/>
          <w:b/>
          <w:sz w:val="24"/>
          <w:szCs w:val="24"/>
        </w:rPr>
        <w:br/>
        <w:t xml:space="preserve"> Președinte</w:t>
      </w:r>
    </w:p>
    <w:p w14:paraId="48AD6D91" w14:textId="77777777" w:rsidR="002D7D9E" w:rsidRPr="00F51544" w:rsidRDefault="00F51544">
      <w:pPr>
        <w:spacing w:before="240" w:after="240"/>
        <w:jc w:val="both"/>
        <w:rPr>
          <w:rFonts w:ascii="Open Sans" w:eastAsia="Open Sans" w:hAnsi="Open Sans" w:cs="Open Sans"/>
          <w:b/>
          <w:i/>
          <w:sz w:val="24"/>
          <w:szCs w:val="24"/>
        </w:rPr>
      </w:pPr>
      <w:r w:rsidRPr="00F51544">
        <w:rPr>
          <w:rFonts w:ascii="Open Sans" w:hAnsi="Open Sans" w:cs="Open Sans"/>
          <w:noProof/>
        </w:rPr>
        <w:drawing>
          <wp:anchor distT="114300" distB="114300" distL="114300" distR="114300" simplePos="0" relativeHeight="251658240" behindDoc="1" locked="0" layoutInCell="1" hidden="0" allowOverlap="1" wp14:anchorId="4764791D" wp14:editId="748719E3">
            <wp:simplePos x="0" y="0"/>
            <wp:positionH relativeFrom="column">
              <wp:posOffset>5191125</wp:posOffset>
            </wp:positionH>
            <wp:positionV relativeFrom="paragraph">
              <wp:posOffset>371475</wp:posOffset>
            </wp:positionV>
            <wp:extent cx="688967" cy="688967"/>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88967" cy="688967"/>
                    </a:xfrm>
                    <a:prstGeom prst="rect">
                      <a:avLst/>
                    </a:prstGeom>
                    <a:ln/>
                  </pic:spPr>
                </pic:pic>
              </a:graphicData>
            </a:graphic>
          </wp:anchor>
        </w:drawing>
      </w:r>
    </w:p>
    <w:p w14:paraId="40513C93" w14:textId="77777777" w:rsidR="002D7D9E" w:rsidRPr="00F51544" w:rsidRDefault="002D7D9E">
      <w:pPr>
        <w:spacing w:before="240" w:after="240"/>
        <w:jc w:val="both"/>
        <w:rPr>
          <w:rFonts w:ascii="Open Sans" w:eastAsia="Open Sans" w:hAnsi="Open Sans" w:cs="Open Sans"/>
          <w:b/>
          <w:sz w:val="24"/>
          <w:szCs w:val="24"/>
        </w:rPr>
      </w:pPr>
    </w:p>
    <w:p w14:paraId="078DB8A2" w14:textId="77777777" w:rsidR="002D7D9E" w:rsidRPr="00F51544" w:rsidRDefault="00F51544">
      <w:pPr>
        <w:spacing w:before="240" w:after="240"/>
        <w:jc w:val="both"/>
        <w:rPr>
          <w:rFonts w:ascii="Open Sans" w:eastAsia="Open Sans" w:hAnsi="Open Sans" w:cs="Open Sans"/>
          <w:b/>
          <w:sz w:val="24"/>
          <w:szCs w:val="24"/>
        </w:rPr>
      </w:pPr>
      <w:r w:rsidRPr="00F51544">
        <w:rPr>
          <w:rFonts w:ascii="Open Sans" w:eastAsia="Open Sans" w:hAnsi="Open Sans" w:cs="Open Sans"/>
          <w:b/>
          <w:sz w:val="24"/>
          <w:szCs w:val="24"/>
        </w:rPr>
        <w:t>I. Aspecte generale</w:t>
      </w:r>
    </w:p>
    <w:p w14:paraId="62F0E189" w14:textId="77777777" w:rsidR="002D7D9E" w:rsidRPr="00F51544" w:rsidRDefault="00F51544">
      <w:pPr>
        <w:spacing w:before="240" w:after="240"/>
        <w:jc w:val="both"/>
        <w:rPr>
          <w:rFonts w:ascii="Open Sans" w:eastAsia="Open Sans" w:hAnsi="Open Sans" w:cs="Open Sans"/>
          <w:sz w:val="24"/>
          <w:szCs w:val="24"/>
        </w:rPr>
      </w:pPr>
      <w:r w:rsidRPr="00F51544">
        <w:rPr>
          <w:rFonts w:ascii="Open Sans" w:eastAsia="Open Sans" w:hAnsi="Open Sans" w:cs="Open Sans"/>
          <w:sz w:val="24"/>
          <w:szCs w:val="24"/>
        </w:rPr>
        <w:t>Directiva (UE) 2022/2041 privind salariile minime adecvate în Uniunea Europeană constituie unul dintre cele mai importante instrumente normative adoptate în ultimul deceniu pentru consolidarea dimensiunii sociale a Uniunii Europene și pentru reafirmarea echilibrului dintre libertățile economice și drepturile fundamentale ale lucrătorilor.</w:t>
      </w:r>
    </w:p>
    <w:p w14:paraId="4E0937EF" w14:textId="77777777" w:rsidR="002D7D9E" w:rsidRPr="00F51544" w:rsidRDefault="00F51544">
      <w:pPr>
        <w:spacing w:before="240" w:after="240"/>
        <w:jc w:val="both"/>
        <w:rPr>
          <w:rFonts w:ascii="Open Sans" w:eastAsia="Open Sans" w:hAnsi="Open Sans" w:cs="Open Sans"/>
          <w:sz w:val="24"/>
          <w:szCs w:val="24"/>
          <w:u w:val="single"/>
        </w:rPr>
      </w:pPr>
      <w:r w:rsidRPr="00F51544">
        <w:rPr>
          <w:rFonts w:ascii="Open Sans" w:eastAsia="Open Sans" w:hAnsi="Open Sans" w:cs="Open Sans"/>
          <w:sz w:val="24"/>
          <w:szCs w:val="24"/>
        </w:rPr>
        <w:t xml:space="preserve">Această directivă nu urmărește uniformizarea nivelurilor salariale în statele membre și nici nu introduce un salariu minim unic european, ci stabilește principii și criterii metodologice comune pentru evaluarea adecvării salariilor minime legale și pentru întărirea negocierii colective ca principal mecanism de formare echitabilă a salariilor. </w:t>
      </w:r>
      <w:r w:rsidRPr="00F51544">
        <w:rPr>
          <w:rFonts w:ascii="Open Sans" w:eastAsia="Open Sans" w:hAnsi="Open Sans" w:cs="Open Sans"/>
          <w:sz w:val="24"/>
          <w:szCs w:val="24"/>
          <w:u w:val="single"/>
        </w:rPr>
        <w:t>Prin aceasta, actul contribuie la garantarea efectivă a dreptului la un nivel de trai decent</w:t>
      </w:r>
      <w:r w:rsidRPr="00F51544">
        <w:rPr>
          <w:rFonts w:ascii="Open Sans" w:eastAsia="Open Sans" w:hAnsi="Open Sans" w:cs="Open Sans"/>
          <w:sz w:val="24"/>
          <w:szCs w:val="24"/>
          <w:u w:val="single"/>
          <w:vertAlign w:val="superscript"/>
        </w:rPr>
        <w:footnoteReference w:id="1"/>
      </w:r>
      <w:r w:rsidRPr="00F51544">
        <w:rPr>
          <w:rFonts w:ascii="Open Sans" w:eastAsia="Open Sans" w:hAnsi="Open Sans" w:cs="Open Sans"/>
          <w:sz w:val="24"/>
          <w:szCs w:val="24"/>
          <w:u w:val="single"/>
        </w:rPr>
        <w:t xml:space="preserve"> și la reducerea fenomenului de „sărăcie în muncă”, recunoscut de instituțiile europene ca unul dintre riscurile sociale majore ale ultimelor decenii.</w:t>
      </w:r>
    </w:p>
    <w:p w14:paraId="52B3ACA1" w14:textId="77777777" w:rsidR="002D7D9E" w:rsidRPr="00F51544" w:rsidRDefault="00F51544">
      <w:pPr>
        <w:spacing w:before="240" w:after="240"/>
        <w:jc w:val="both"/>
        <w:rPr>
          <w:rFonts w:ascii="Open Sans" w:eastAsia="Open Sans" w:hAnsi="Open Sans" w:cs="Open Sans"/>
          <w:sz w:val="24"/>
          <w:szCs w:val="24"/>
        </w:rPr>
      </w:pPr>
      <w:r w:rsidRPr="00F51544">
        <w:rPr>
          <w:rFonts w:ascii="Open Sans" w:eastAsia="Open Sans" w:hAnsi="Open Sans" w:cs="Open Sans"/>
          <w:sz w:val="24"/>
          <w:szCs w:val="24"/>
        </w:rPr>
        <w:t>Adoptarea Directivei (UE) 2022/2041 reprezintă o exercitare legitimă și proporțională a competențelor conferite Uniunii prin tratate, în deplin acord cu articolele 3 și 6 din Tratatul privind Uniunea Europeană (TUE) și articolele 151–156 din Tratatul privind Funcționarea Uniunii Europene (TFUE).</w:t>
      </w:r>
    </w:p>
    <w:p w14:paraId="51F29067" w14:textId="77777777" w:rsidR="002D7D9E" w:rsidRPr="00F51544" w:rsidRDefault="00F51544">
      <w:pPr>
        <w:spacing w:before="240" w:after="240"/>
        <w:jc w:val="both"/>
        <w:rPr>
          <w:rFonts w:ascii="Open Sans" w:eastAsia="Open Sans" w:hAnsi="Open Sans" w:cs="Open Sans"/>
          <w:i/>
          <w:sz w:val="24"/>
          <w:szCs w:val="24"/>
        </w:rPr>
      </w:pPr>
      <w:r w:rsidRPr="00F51544">
        <w:rPr>
          <w:rFonts w:ascii="Open Sans" w:eastAsia="Open Sans" w:hAnsi="Open Sans" w:cs="Open Sans"/>
          <w:b/>
          <w:sz w:val="24"/>
          <w:szCs w:val="24"/>
          <w:u w:val="single"/>
        </w:rPr>
        <w:t>Potrivit articolului 3 alineatul (3) TUE, Uniunea „acționează pe o economie socială de piață cu grad ridicat de competitivitate, care tinde spre ocuparea deplină a forței de muncă și spre progres social”</w:t>
      </w:r>
      <w:r w:rsidRPr="00F51544">
        <w:rPr>
          <w:rFonts w:ascii="Open Sans" w:eastAsia="Open Sans" w:hAnsi="Open Sans" w:cs="Open Sans"/>
          <w:sz w:val="24"/>
          <w:szCs w:val="24"/>
        </w:rPr>
        <w:t xml:space="preserve">. Această prevedere nu conferă doar o competență, ci impune o obligație pozitivă pentru instituțiile europene de a asigura echilibrul dintre dimensiunea economică și cea socială a integrării. </w:t>
      </w:r>
      <w:r w:rsidRPr="00F51544">
        <w:rPr>
          <w:rFonts w:ascii="Open Sans" w:eastAsia="Open Sans" w:hAnsi="Open Sans" w:cs="Open Sans"/>
          <w:i/>
          <w:sz w:val="24"/>
          <w:szCs w:val="24"/>
        </w:rPr>
        <w:t xml:space="preserve">Articolul 6 TUE stabilește de asemenea că drepturile fundamentale – printre </w:t>
      </w:r>
      <w:r w:rsidRPr="00F51544">
        <w:rPr>
          <w:rFonts w:ascii="Open Sans" w:eastAsia="Open Sans" w:hAnsi="Open Sans" w:cs="Open Sans"/>
          <w:i/>
          <w:sz w:val="24"/>
          <w:szCs w:val="24"/>
        </w:rPr>
        <w:lastRenderedPageBreak/>
        <w:t>care se află și dreptul la condiții de muncă echitabile și juste, consacrat de articolul 31 din Carta Drepturilor Fundamentale a Uniunii Europene – au aceeași valoare juridică precum tratatele și trebuie respectate în toate acțiunile Uniunii.</w:t>
      </w:r>
    </w:p>
    <w:p w14:paraId="619A992E" w14:textId="77777777" w:rsidR="002D7D9E" w:rsidRPr="00F51544" w:rsidRDefault="00F51544">
      <w:pPr>
        <w:spacing w:before="240" w:after="240"/>
        <w:jc w:val="both"/>
        <w:rPr>
          <w:rFonts w:ascii="Open Sans" w:eastAsia="Open Sans" w:hAnsi="Open Sans" w:cs="Open Sans"/>
          <w:sz w:val="24"/>
          <w:szCs w:val="24"/>
        </w:rPr>
      </w:pPr>
      <w:r w:rsidRPr="00F51544">
        <w:rPr>
          <w:rFonts w:ascii="Open Sans" w:eastAsia="Open Sans" w:hAnsi="Open Sans" w:cs="Open Sans"/>
          <w:sz w:val="24"/>
          <w:szCs w:val="24"/>
        </w:rPr>
        <w:t>În același sens, articolele 151–156 din TFUE definesc cadrul politicii sociale europene și recunosc expres competența Uniunii de a adopta măsuri de susținere și coordonare în domenii precum condițiile de muncă, protecția socială și dialogul între partenerii sociali. Articolul 153 alineatul (1) literele (b) și (i) autorizează adoptarea de directive care stabilesc cerințe minime privind „condițiile de muncă” și „egalitatea între femei și bărbați în ceea ce privește angajarea și remunerarea”, iar alineatul (2)</w:t>
      </w:r>
      <w:r w:rsidRPr="00F51544">
        <w:rPr>
          <w:rFonts w:ascii="Open Sans" w:eastAsia="Open Sans" w:hAnsi="Open Sans" w:cs="Open Sans"/>
          <w:sz w:val="24"/>
          <w:szCs w:val="24"/>
        </w:rPr>
        <w:t xml:space="preserve"> prevede că asemenea măsuri pot fi adoptate prin procedura legislativă ordinară, cu consultarea partenerilor sociali.</w:t>
      </w:r>
    </w:p>
    <w:p w14:paraId="02F36AC8" w14:textId="77777777" w:rsidR="002D7D9E" w:rsidRPr="00F51544" w:rsidRDefault="00F51544">
      <w:pPr>
        <w:spacing w:before="240" w:after="240"/>
        <w:jc w:val="both"/>
        <w:rPr>
          <w:rFonts w:ascii="Open Sans" w:eastAsia="Open Sans" w:hAnsi="Open Sans" w:cs="Open Sans"/>
          <w:sz w:val="24"/>
          <w:szCs w:val="24"/>
        </w:rPr>
      </w:pPr>
      <w:r w:rsidRPr="00F51544">
        <w:rPr>
          <w:rFonts w:ascii="Open Sans" w:eastAsia="Open Sans" w:hAnsi="Open Sans" w:cs="Open Sans"/>
          <w:sz w:val="24"/>
          <w:szCs w:val="24"/>
        </w:rPr>
        <w:t>Prin urmare, competența Uniunii în această materie este clară și limitată la domenii de sprijin, ceea ce face ca Directiva (UE) 2022/2041 să fie nu o extindere a prerogativelor Uniunii, ci o transpunere normativă a obligațiilor care decurg din tratate și din angajamentele asumate prin Pilonul european al drepturilor sociale, aprobat de toate statele membre la Göteborg în 2017.</w:t>
      </w:r>
    </w:p>
    <w:p w14:paraId="4F5431CE" w14:textId="77777777" w:rsidR="002D7D9E" w:rsidRPr="00F51544" w:rsidRDefault="00F51544">
      <w:pPr>
        <w:spacing w:before="240" w:after="240"/>
        <w:jc w:val="both"/>
        <w:rPr>
          <w:rFonts w:ascii="Open Sans" w:eastAsia="Open Sans" w:hAnsi="Open Sans" w:cs="Open Sans"/>
          <w:sz w:val="24"/>
          <w:szCs w:val="24"/>
        </w:rPr>
      </w:pPr>
      <w:r w:rsidRPr="00F51544">
        <w:rPr>
          <w:rFonts w:ascii="Open Sans" w:eastAsia="Open Sans" w:hAnsi="Open Sans" w:cs="Open Sans"/>
          <w:sz w:val="24"/>
          <w:szCs w:val="24"/>
        </w:rPr>
        <w:t xml:space="preserve">De altfel, </w:t>
      </w:r>
      <w:r w:rsidRPr="00F51544">
        <w:rPr>
          <w:rFonts w:ascii="Open Sans" w:eastAsia="Open Sans" w:hAnsi="Open Sans" w:cs="Open Sans"/>
          <w:sz w:val="24"/>
          <w:szCs w:val="24"/>
          <w:u w:val="single"/>
        </w:rPr>
        <w:t>obiectivul directivei este perfect aliniat cu principiul 6 al Pilonului european al drepturilor sociale, care garantează „dreptul lucrătorilor la salarii echitabile care să le asigure un nivel de trai decent”, precum și cu principiul 8, care consacră rolul central al partenerilor sociali și al negocierii colective în definirea condițiilor de muncă</w:t>
      </w:r>
      <w:r w:rsidRPr="00F51544">
        <w:rPr>
          <w:rFonts w:ascii="Open Sans" w:eastAsia="Open Sans" w:hAnsi="Open Sans" w:cs="Open Sans"/>
          <w:sz w:val="24"/>
          <w:szCs w:val="24"/>
        </w:rPr>
        <w:t xml:space="preserve">. Aceste principii au fost reafirmate de Consiliul Uniunii Europene în </w:t>
      </w:r>
      <w:r w:rsidRPr="00F51544">
        <w:rPr>
          <w:rFonts w:ascii="Open Sans" w:eastAsia="Open Sans" w:hAnsi="Open Sans" w:cs="Open Sans"/>
          <w:i/>
          <w:sz w:val="24"/>
          <w:szCs w:val="24"/>
        </w:rPr>
        <w:t>Recomandarea din 12 iunie 2023 privind consolidarea dialogului social</w:t>
      </w:r>
      <w:r w:rsidRPr="00F51544">
        <w:rPr>
          <w:rFonts w:ascii="Open Sans" w:eastAsia="Open Sans" w:hAnsi="Open Sans" w:cs="Open Sans"/>
          <w:i/>
          <w:sz w:val="24"/>
          <w:szCs w:val="24"/>
          <w:vertAlign w:val="superscript"/>
        </w:rPr>
        <w:footnoteReference w:id="2"/>
      </w:r>
      <w:r w:rsidRPr="00F51544">
        <w:rPr>
          <w:rFonts w:ascii="Open Sans" w:eastAsia="Open Sans" w:hAnsi="Open Sans" w:cs="Open Sans"/>
          <w:sz w:val="24"/>
          <w:szCs w:val="24"/>
        </w:rPr>
        <w:t>, prin care statele membre au fost invitate să sprijine extinderea acoperirii negocierilor colective și să integreze criterii obiective de stabilire a salariilor.</w:t>
      </w:r>
    </w:p>
    <w:p w14:paraId="6C0779B0" w14:textId="77777777" w:rsidR="002D7D9E" w:rsidRPr="00F51544" w:rsidRDefault="00F51544">
      <w:pPr>
        <w:spacing w:before="240" w:after="240"/>
        <w:jc w:val="both"/>
        <w:rPr>
          <w:rFonts w:ascii="Open Sans" w:eastAsia="Open Sans" w:hAnsi="Open Sans" w:cs="Open Sans"/>
          <w:sz w:val="24"/>
          <w:szCs w:val="24"/>
        </w:rPr>
      </w:pPr>
      <w:r w:rsidRPr="00F51544">
        <w:rPr>
          <w:rFonts w:ascii="Open Sans" w:eastAsia="Open Sans" w:hAnsi="Open Sans" w:cs="Open Sans"/>
          <w:sz w:val="24"/>
          <w:szCs w:val="24"/>
        </w:rPr>
        <w:t xml:space="preserve">Prin urmare, </w:t>
      </w:r>
      <w:r w:rsidRPr="00F51544">
        <w:rPr>
          <w:rFonts w:ascii="Open Sans" w:eastAsia="Open Sans" w:hAnsi="Open Sans" w:cs="Open Sans"/>
          <w:b/>
          <w:sz w:val="24"/>
          <w:szCs w:val="24"/>
          <w:u w:val="single"/>
        </w:rPr>
        <w:t>Directiva (UE) 2022/2041 trebuie înțeleasă ca un instrument de punere în aplicare a Tratatului, al Cartei și al Pilonului social, nu ca o reglementare intruzivă. Ea nu înlocuiește modelele naționale de negociere colectivă, ci le întărește prin introducerea unei obligații de evaluare, monitorizare și transparență</w:t>
      </w:r>
      <w:r w:rsidRPr="00F51544">
        <w:rPr>
          <w:rFonts w:ascii="Open Sans" w:eastAsia="Open Sans" w:hAnsi="Open Sans" w:cs="Open Sans"/>
          <w:sz w:val="24"/>
          <w:szCs w:val="24"/>
        </w:rPr>
        <w:t xml:space="preserve">, menite să asigure că procesul de stabilire a </w:t>
      </w:r>
      <w:r w:rsidRPr="00F51544">
        <w:rPr>
          <w:rFonts w:ascii="Open Sans" w:eastAsia="Open Sans" w:hAnsi="Open Sans" w:cs="Open Sans"/>
          <w:sz w:val="24"/>
          <w:szCs w:val="24"/>
        </w:rPr>
        <w:lastRenderedPageBreak/>
        <w:t>salariilor servește scopului fundamental al Uniunii: progresul social și coeziunea economică și socială între statele membre.</w:t>
      </w:r>
    </w:p>
    <w:p w14:paraId="75D43B36" w14:textId="77777777" w:rsidR="002D7D9E" w:rsidRPr="00F51544" w:rsidRDefault="00F51544">
      <w:pPr>
        <w:spacing w:before="240" w:after="240"/>
        <w:jc w:val="both"/>
        <w:rPr>
          <w:rFonts w:ascii="Open Sans" w:eastAsia="Open Sans" w:hAnsi="Open Sans" w:cs="Open Sans"/>
          <w:sz w:val="24"/>
          <w:szCs w:val="24"/>
        </w:rPr>
      </w:pPr>
      <w:r w:rsidRPr="00F51544">
        <w:rPr>
          <w:rFonts w:ascii="Open Sans" w:eastAsia="Open Sans" w:hAnsi="Open Sans" w:cs="Open Sans"/>
          <w:sz w:val="24"/>
          <w:szCs w:val="24"/>
        </w:rPr>
        <w:t>Pentru statele membre în care negocierea colectivă are o acoperire ridicată și stabile mecanisme autonome (cum este cazul Danemarcei sau Suediei), directiva confirmă libertatea partenerilor sociali de a menține propriile modele. Pentru statele în care sistemul de negociere colectivă este slab sau aproape inexistent, directiva oferă cadrul necesar pentru consolidarea unui proces de stabilire a salariilor bazat pe criterii obiective și consultare socială reală, în spiritul articolului 151 TFUE și al principiu</w:t>
      </w:r>
      <w:r w:rsidRPr="00F51544">
        <w:rPr>
          <w:rFonts w:ascii="Open Sans" w:eastAsia="Open Sans" w:hAnsi="Open Sans" w:cs="Open Sans"/>
          <w:sz w:val="24"/>
          <w:szCs w:val="24"/>
        </w:rPr>
        <w:t>lui solidarității europene.</w:t>
      </w:r>
    </w:p>
    <w:p w14:paraId="69F08492" w14:textId="77777777" w:rsidR="002D7D9E" w:rsidRPr="00F51544" w:rsidRDefault="00F51544">
      <w:pPr>
        <w:spacing w:before="240" w:after="240"/>
        <w:jc w:val="both"/>
        <w:rPr>
          <w:rFonts w:ascii="Open Sans" w:eastAsia="Open Sans" w:hAnsi="Open Sans" w:cs="Open Sans"/>
          <w:b/>
          <w:i/>
          <w:sz w:val="24"/>
          <w:szCs w:val="24"/>
          <w:u w:val="single"/>
        </w:rPr>
      </w:pPr>
      <w:r w:rsidRPr="00F51544">
        <w:rPr>
          <w:rFonts w:ascii="Open Sans" w:eastAsia="Open Sans" w:hAnsi="Open Sans" w:cs="Open Sans"/>
          <w:sz w:val="24"/>
          <w:szCs w:val="24"/>
        </w:rPr>
        <w:t xml:space="preserve">În consecință, Directiva (UE) 2022/2041 este un răspuns proporțional al UE la realitățile pieței muncii europene și la necesitatea de a restabili echilibrul între creșterea economică și justiția socială. </w:t>
      </w:r>
      <w:r w:rsidRPr="00F51544">
        <w:rPr>
          <w:rFonts w:ascii="Open Sans" w:eastAsia="Open Sans" w:hAnsi="Open Sans" w:cs="Open Sans"/>
          <w:b/>
          <w:i/>
          <w:sz w:val="24"/>
          <w:szCs w:val="24"/>
          <w:u w:val="single"/>
        </w:rPr>
        <w:t>Ea nu restrânge competențele statelor, ci le oferă un cadru comun de acțiune pentru atingerea unui obiectiv esențial al integrării europene: asigurarea unui nivel de trai decent pentru toți lucrătorii din Uniune.</w:t>
      </w:r>
    </w:p>
    <w:p w14:paraId="4B1ABBEA" w14:textId="77777777" w:rsidR="002D7D9E" w:rsidRPr="00F51544" w:rsidRDefault="00F51544">
      <w:pPr>
        <w:spacing w:before="240" w:after="240"/>
        <w:jc w:val="both"/>
        <w:rPr>
          <w:rFonts w:ascii="Open Sans" w:eastAsia="Open Sans" w:hAnsi="Open Sans" w:cs="Open Sans"/>
          <w:b/>
          <w:sz w:val="24"/>
          <w:szCs w:val="24"/>
        </w:rPr>
      </w:pPr>
      <w:r w:rsidRPr="00F51544">
        <w:rPr>
          <w:rFonts w:ascii="Open Sans" w:hAnsi="Open Sans" w:cs="Open Sans"/>
          <w:b/>
          <w:sz w:val="24"/>
          <w:szCs w:val="24"/>
        </w:rPr>
        <w:t>II. Cu privire la competența Uniunii Europene în materie și conformitatea Directivei cu TUE și TFUE</w:t>
      </w:r>
    </w:p>
    <w:p w14:paraId="5BA7E8E8" w14:textId="77777777" w:rsidR="002D7D9E" w:rsidRPr="00F51544" w:rsidRDefault="00F51544">
      <w:pPr>
        <w:spacing w:before="240" w:after="240"/>
        <w:jc w:val="both"/>
        <w:rPr>
          <w:rFonts w:ascii="Open Sans" w:eastAsia="Open Sans" w:hAnsi="Open Sans" w:cs="Open Sans"/>
          <w:sz w:val="24"/>
          <w:szCs w:val="24"/>
        </w:rPr>
      </w:pPr>
      <w:r w:rsidRPr="00F51544">
        <w:rPr>
          <w:rFonts w:ascii="Open Sans" w:eastAsia="Open Sans" w:hAnsi="Open Sans" w:cs="Open Sans"/>
          <w:sz w:val="24"/>
          <w:szCs w:val="24"/>
        </w:rPr>
        <w:t>Acțiunea introdusă de Regatul Danemarcei și Regatul Suediei în cauza C-19/23 se sprijină pe argumentul potrivit căruia Directiva (UE) 2022/2041 ar depăși competența Uniunii prevăzută de articolul 153 alineatul (5) din TFUE, care exclude „remunerația” din domeniile ce pot fi reglementate prin măsuri de armonizare. Această interpretare, preluată parțial și în concluziile Avocatului General Emiliou, pornește de la o premisă eronată, întrucât confundă nivelul remunerației (care, într-adevăr, rămâne competență e</w:t>
      </w:r>
      <w:r w:rsidRPr="00F51544">
        <w:rPr>
          <w:rFonts w:ascii="Open Sans" w:eastAsia="Open Sans" w:hAnsi="Open Sans" w:cs="Open Sans"/>
          <w:sz w:val="24"/>
          <w:szCs w:val="24"/>
        </w:rPr>
        <w:t>xclusiv națională) cu condițiile de muncă și criteriile metodologice de stabilire a salariilor minime, domenii aflate sub competența partajată a Uniunii, conform articolelor 151–153 TFUE.</w:t>
      </w:r>
    </w:p>
    <w:p w14:paraId="539EF182" w14:textId="77777777" w:rsidR="002D7D9E" w:rsidRPr="00F51544" w:rsidRDefault="00F51544">
      <w:pPr>
        <w:spacing w:before="240" w:after="240"/>
        <w:jc w:val="both"/>
        <w:rPr>
          <w:rFonts w:ascii="Open Sans" w:eastAsia="Open Sans" w:hAnsi="Open Sans" w:cs="Open Sans"/>
          <w:sz w:val="24"/>
          <w:szCs w:val="24"/>
        </w:rPr>
      </w:pPr>
      <w:r w:rsidRPr="00F51544">
        <w:rPr>
          <w:rFonts w:ascii="Open Sans" w:hAnsi="Open Sans" w:cs="Open Sans"/>
          <w:sz w:val="24"/>
          <w:szCs w:val="24"/>
        </w:rPr>
        <w:t>Articolul 151 TFUE stabilește obiectivele politicii sociale a Uniunii:</w:t>
      </w:r>
      <w:r w:rsidRPr="00F51544">
        <w:rPr>
          <w:rFonts w:ascii="Open Sans" w:eastAsia="Open Sans" w:hAnsi="Open Sans" w:cs="Open Sans"/>
          <w:i/>
          <w:sz w:val="24"/>
          <w:szCs w:val="24"/>
        </w:rPr>
        <w:t xml:space="preserve"> „îmbunătățirea condițiilor de trai și de muncă, dialogul social, ocuparea forței de muncă ridicată și protecția socială adecvată”</w:t>
      </w:r>
      <w:r w:rsidRPr="00F51544">
        <w:rPr>
          <w:rFonts w:ascii="Open Sans" w:eastAsia="Open Sans" w:hAnsi="Open Sans" w:cs="Open Sans"/>
          <w:sz w:val="24"/>
          <w:szCs w:val="24"/>
        </w:rPr>
        <w:t xml:space="preserve">. Articolul 153 alineatul (1) precizează domeniile în care Uniunea poate sprijini și completa acțiunea statelor membre, incluzând </w:t>
      </w:r>
      <w:r w:rsidRPr="00F51544">
        <w:rPr>
          <w:rFonts w:ascii="Open Sans" w:eastAsia="Open Sans" w:hAnsi="Open Sans" w:cs="Open Sans"/>
          <w:i/>
          <w:sz w:val="24"/>
          <w:szCs w:val="24"/>
        </w:rPr>
        <w:t>condițiile de muncă</w:t>
      </w:r>
      <w:r w:rsidRPr="00F51544">
        <w:rPr>
          <w:rFonts w:ascii="Open Sans" w:hAnsi="Open Sans" w:cs="Open Sans"/>
          <w:sz w:val="24"/>
          <w:szCs w:val="24"/>
        </w:rPr>
        <w:t xml:space="preserve"> (lit. b) și </w:t>
      </w:r>
      <w:r w:rsidRPr="00F51544">
        <w:rPr>
          <w:rFonts w:ascii="Open Sans" w:eastAsia="Open Sans" w:hAnsi="Open Sans" w:cs="Open Sans"/>
          <w:i/>
          <w:sz w:val="24"/>
          <w:szCs w:val="24"/>
        </w:rPr>
        <w:t xml:space="preserve">egalitatea între femei și bărbați în ceea ce privește angajarea și </w:t>
      </w:r>
      <w:r w:rsidRPr="00F51544">
        <w:rPr>
          <w:rFonts w:ascii="Open Sans" w:eastAsia="Open Sans" w:hAnsi="Open Sans" w:cs="Open Sans"/>
          <w:i/>
          <w:sz w:val="24"/>
          <w:szCs w:val="24"/>
        </w:rPr>
        <w:lastRenderedPageBreak/>
        <w:t>remunerarea</w:t>
      </w:r>
      <w:r w:rsidRPr="00F51544">
        <w:rPr>
          <w:rFonts w:ascii="Open Sans" w:eastAsia="Open Sans" w:hAnsi="Open Sans" w:cs="Open Sans"/>
          <w:sz w:val="24"/>
          <w:szCs w:val="24"/>
        </w:rPr>
        <w:t xml:space="preserve"> (lit. i). Alineatul (2) autorizează adoptarea de directive care stabilesc cerințe minime pentru îmbunătățirea acestor domenii, cu respectarea</w:t>
      </w:r>
      <w:r w:rsidRPr="00F51544">
        <w:rPr>
          <w:rFonts w:ascii="Open Sans" w:eastAsia="Open Sans" w:hAnsi="Open Sans" w:cs="Open Sans"/>
          <w:sz w:val="24"/>
          <w:szCs w:val="24"/>
        </w:rPr>
        <w:t xml:space="preserve"> principiului subsidiarității.</w:t>
      </w:r>
    </w:p>
    <w:p w14:paraId="13A3F147" w14:textId="77777777" w:rsidR="002D7D9E" w:rsidRPr="00F51544" w:rsidRDefault="00F51544">
      <w:pPr>
        <w:spacing w:before="240" w:after="240"/>
        <w:jc w:val="both"/>
        <w:rPr>
          <w:rFonts w:ascii="Open Sans" w:eastAsia="Open Sans" w:hAnsi="Open Sans" w:cs="Open Sans"/>
          <w:sz w:val="24"/>
          <w:szCs w:val="24"/>
        </w:rPr>
      </w:pPr>
      <w:r w:rsidRPr="00F51544">
        <w:rPr>
          <w:rFonts w:ascii="Open Sans" w:eastAsia="Open Sans" w:hAnsi="Open Sans" w:cs="Open Sans"/>
          <w:sz w:val="24"/>
          <w:szCs w:val="24"/>
        </w:rPr>
        <w:t>Prin urmare, competența Uniunii acoperă condițiile de muncă și mecanismele de determinare a remunerației, în măsura în care acestea au ca scop protecția lucrătorilor și promovarea convergenței sociale</w:t>
      </w:r>
      <w:r w:rsidRPr="00F51544">
        <w:rPr>
          <w:rFonts w:ascii="Open Sans" w:eastAsia="Open Sans" w:hAnsi="Open Sans" w:cs="Open Sans"/>
          <w:b/>
          <w:bCs/>
          <w:i/>
          <w:iCs/>
          <w:sz w:val="24"/>
          <w:szCs w:val="24"/>
          <w:u w:val="single"/>
        </w:rPr>
        <w:t>, fără a stabili cuantumuri unitare</w:t>
      </w:r>
      <w:r w:rsidRPr="00F51544">
        <w:rPr>
          <w:rFonts w:ascii="Open Sans" w:eastAsia="Open Sans" w:hAnsi="Open Sans" w:cs="Open Sans"/>
          <w:sz w:val="24"/>
          <w:szCs w:val="24"/>
        </w:rPr>
        <w:t>.</w:t>
      </w:r>
    </w:p>
    <w:p w14:paraId="136BFD99" w14:textId="77777777" w:rsidR="002D7D9E" w:rsidRPr="00F51544" w:rsidRDefault="00F51544">
      <w:pPr>
        <w:spacing w:before="240" w:after="240"/>
        <w:jc w:val="both"/>
        <w:rPr>
          <w:rFonts w:ascii="Open Sans" w:eastAsia="Open Sans" w:hAnsi="Open Sans" w:cs="Open Sans"/>
          <w:sz w:val="24"/>
          <w:szCs w:val="24"/>
        </w:rPr>
      </w:pPr>
      <w:r w:rsidRPr="00F51544">
        <w:rPr>
          <w:rFonts w:ascii="Open Sans" w:eastAsia="Open Sans" w:hAnsi="Open Sans" w:cs="Open Sans"/>
          <w:sz w:val="24"/>
          <w:szCs w:val="24"/>
        </w:rPr>
        <w:t>Articolul 153 alineatul (5) TFUE, invocat de statele reclamante, exclude din domeniul armonizării „remunerația”, „dreptul de asociere”, „dreptul de grevă” și „dreptul a lock-out”. Această excludere trebuie interpretată strict și teleologic, având în vedere jurisprudența constantă a Curții de Justiție, care a precizat că interdicția armonizării remunerației nu se extinde la măsuri ce privesc condițiile de muncă, criteriile de adecvare sau transparența salarială, atâta timp cât scopul principal al acțiunii nu</w:t>
      </w:r>
      <w:r w:rsidRPr="00F51544">
        <w:rPr>
          <w:rFonts w:ascii="Open Sans" w:eastAsia="Open Sans" w:hAnsi="Open Sans" w:cs="Open Sans"/>
          <w:sz w:val="24"/>
          <w:szCs w:val="24"/>
        </w:rPr>
        <w:t xml:space="preserve"> este stabilirea nivelului de salariu, ci protecția lucrătorului.</w:t>
      </w:r>
    </w:p>
    <w:p w14:paraId="30EC9107" w14:textId="77777777" w:rsidR="002D7D9E" w:rsidRPr="00F51544" w:rsidRDefault="00F51544">
      <w:pPr>
        <w:spacing w:before="240" w:after="240"/>
        <w:jc w:val="both"/>
        <w:rPr>
          <w:rFonts w:ascii="Open Sans" w:eastAsia="Open Sans" w:hAnsi="Open Sans" w:cs="Open Sans"/>
          <w:sz w:val="24"/>
          <w:szCs w:val="24"/>
        </w:rPr>
      </w:pPr>
      <w:r w:rsidRPr="00F51544">
        <w:rPr>
          <w:rFonts w:ascii="Open Sans" w:eastAsia="Open Sans" w:hAnsi="Open Sans" w:cs="Open Sans"/>
          <w:sz w:val="24"/>
          <w:szCs w:val="24"/>
        </w:rPr>
        <w:t>Curtea de Justiție a Uniunii Europene a clarificat în repetate rânduri limitele competenței Uniunii în materie socială, astfel:</w:t>
      </w:r>
    </w:p>
    <w:p w14:paraId="7E848717" w14:textId="77777777" w:rsidR="002D7D9E" w:rsidRPr="00F51544" w:rsidRDefault="00F51544">
      <w:pPr>
        <w:numPr>
          <w:ilvl w:val="0"/>
          <w:numId w:val="1"/>
        </w:numPr>
        <w:spacing w:before="240"/>
        <w:jc w:val="both"/>
        <w:rPr>
          <w:rFonts w:ascii="Open Sans" w:eastAsia="Open Sans" w:hAnsi="Open Sans" w:cs="Open Sans"/>
          <w:sz w:val="24"/>
          <w:szCs w:val="24"/>
        </w:rPr>
      </w:pPr>
      <w:r w:rsidRPr="00F51544">
        <w:rPr>
          <w:rFonts w:ascii="Open Sans" w:eastAsia="Open Sans" w:hAnsi="Open Sans" w:cs="Open Sans"/>
          <w:sz w:val="24"/>
          <w:szCs w:val="24"/>
        </w:rPr>
        <w:t xml:space="preserve">în cauza C-268/06 </w:t>
      </w:r>
      <w:r w:rsidRPr="00F51544">
        <w:rPr>
          <w:rFonts w:ascii="Open Sans" w:eastAsia="Open Sans" w:hAnsi="Open Sans" w:cs="Open Sans"/>
          <w:i/>
          <w:sz w:val="24"/>
          <w:szCs w:val="24"/>
        </w:rPr>
        <w:t>Impact</w:t>
      </w:r>
      <w:r w:rsidRPr="00F51544">
        <w:rPr>
          <w:rFonts w:ascii="Open Sans" w:eastAsia="Open Sans" w:hAnsi="Open Sans" w:cs="Open Sans"/>
          <w:sz w:val="24"/>
          <w:szCs w:val="24"/>
        </w:rPr>
        <w:t>, Curtea a stabilit că noțiunea de „condiții de angajare” („employment conditions”) acoperă și drepturi cu caracter financiar, precum alocațiile de vechime, atunci când acestea sunt direct legate de contractul de muncă. O excludere generală a elementelor de remunerație din această noțiune „ar reduce protecția lucrătorilor într-un mod incompatibil cu scopul acordului-cadru” (pct. 46). Prin urmare, actele Uniunii pot reglementa domenii care influențează indirect remunerația, dacă scopul este protecția l</w:t>
      </w:r>
      <w:r w:rsidRPr="00F51544">
        <w:rPr>
          <w:rFonts w:ascii="Open Sans" w:eastAsia="Open Sans" w:hAnsi="Open Sans" w:cs="Open Sans"/>
          <w:sz w:val="24"/>
          <w:szCs w:val="24"/>
        </w:rPr>
        <w:t>ucrătorilor și nu uniformizarea salariilor</w:t>
      </w:r>
      <w:r w:rsidRPr="00F51544">
        <w:rPr>
          <w:rFonts w:ascii="Open Sans" w:eastAsia="Open Sans" w:hAnsi="Open Sans" w:cs="Open Sans"/>
          <w:sz w:val="24"/>
          <w:szCs w:val="24"/>
          <w:vertAlign w:val="superscript"/>
        </w:rPr>
        <w:footnoteReference w:id="3"/>
      </w:r>
      <w:r w:rsidRPr="00F51544">
        <w:rPr>
          <w:rFonts w:ascii="Open Sans" w:eastAsia="Open Sans" w:hAnsi="Open Sans" w:cs="Open Sans"/>
          <w:sz w:val="24"/>
          <w:szCs w:val="24"/>
        </w:rPr>
        <w:t>;</w:t>
      </w:r>
    </w:p>
    <w:p w14:paraId="3D3F7D7C" w14:textId="77777777" w:rsidR="002D7D9E" w:rsidRPr="00F51544" w:rsidRDefault="00F51544">
      <w:pPr>
        <w:numPr>
          <w:ilvl w:val="0"/>
          <w:numId w:val="1"/>
        </w:numPr>
        <w:spacing w:after="240"/>
        <w:jc w:val="both"/>
        <w:rPr>
          <w:rFonts w:ascii="Open Sans" w:eastAsia="Open Sans" w:hAnsi="Open Sans" w:cs="Open Sans"/>
          <w:sz w:val="24"/>
          <w:szCs w:val="24"/>
        </w:rPr>
      </w:pPr>
      <w:r w:rsidRPr="00F51544">
        <w:rPr>
          <w:rFonts w:ascii="Open Sans" w:eastAsia="Open Sans" w:hAnsi="Open Sans" w:cs="Open Sans"/>
          <w:sz w:val="24"/>
          <w:szCs w:val="24"/>
        </w:rPr>
        <w:t xml:space="preserve">în cauza C-307/05, </w:t>
      </w:r>
      <w:r w:rsidRPr="00F51544">
        <w:rPr>
          <w:rFonts w:ascii="Open Sans" w:eastAsia="Open Sans" w:hAnsi="Open Sans" w:cs="Open Sans"/>
          <w:i/>
          <w:sz w:val="24"/>
          <w:szCs w:val="24"/>
        </w:rPr>
        <w:t>Del Cerro Alonso</w:t>
      </w:r>
      <w:r w:rsidRPr="00F51544">
        <w:rPr>
          <w:rFonts w:ascii="Open Sans" w:eastAsia="Open Sans" w:hAnsi="Open Sans" w:cs="Open Sans"/>
          <w:sz w:val="24"/>
          <w:szCs w:val="24"/>
        </w:rPr>
        <w:t xml:space="preserve">, Curtea a stabilit că noțiunea de „condiții de angajare” în sensul dreptului Uniunii, trebuie interpretată ca incluzând toate drepturile care, prin natura lor sau prin modalitatea de dobândire, sunt direct legate de contractul de muncă, inclusiv beneficiile salariale. Aceasta arată că anumite elemente de remunerație pot fi reglementate în </w:t>
      </w:r>
      <w:r w:rsidRPr="00F51544">
        <w:rPr>
          <w:rFonts w:ascii="Open Sans" w:eastAsia="Open Sans" w:hAnsi="Open Sans" w:cs="Open Sans"/>
          <w:sz w:val="24"/>
          <w:szCs w:val="24"/>
        </w:rPr>
        <w:lastRenderedPageBreak/>
        <w:t>contextul protecției lucrătorilor, fără ca Uniunea să încalce excluderea „remunerației” prevăzută la articolul 153 alineatul (5) TFUE.</w:t>
      </w:r>
      <w:r w:rsidRPr="00F51544">
        <w:rPr>
          <w:rFonts w:ascii="Open Sans" w:eastAsia="Open Sans" w:hAnsi="Open Sans" w:cs="Open Sans"/>
          <w:sz w:val="24"/>
          <w:szCs w:val="24"/>
          <w:vertAlign w:val="superscript"/>
        </w:rPr>
        <w:footnoteReference w:id="4"/>
      </w:r>
      <w:r w:rsidRPr="00F51544">
        <w:rPr>
          <w:rFonts w:ascii="Open Sans" w:eastAsia="Open Sans" w:hAnsi="Open Sans" w:cs="Open Sans"/>
          <w:sz w:val="24"/>
          <w:szCs w:val="24"/>
        </w:rPr>
        <w:t>.</w:t>
      </w:r>
    </w:p>
    <w:p w14:paraId="47BDC8E6" w14:textId="77777777" w:rsidR="002D7D9E" w:rsidRPr="00F51544" w:rsidRDefault="00F51544">
      <w:pPr>
        <w:spacing w:before="240" w:after="240"/>
        <w:jc w:val="both"/>
        <w:rPr>
          <w:rFonts w:ascii="Open Sans" w:eastAsia="Open Sans" w:hAnsi="Open Sans" w:cs="Open Sans"/>
          <w:sz w:val="24"/>
          <w:szCs w:val="24"/>
        </w:rPr>
      </w:pPr>
      <w:r w:rsidRPr="00F51544">
        <w:rPr>
          <w:rFonts w:ascii="Open Sans" w:eastAsia="Open Sans" w:hAnsi="Open Sans" w:cs="Open Sans"/>
          <w:sz w:val="24"/>
          <w:szCs w:val="24"/>
        </w:rPr>
        <w:t xml:space="preserve">Această jurisprudență confirmă faptul că interdicția prevăzută la articolul 153 alin.(5) TFUE nu privește toate măsurile care ating indirect domeniul remunerației, ci doar acelea care urmăresc în mod explicit armonizarea nivelurilor salariale. </w:t>
      </w:r>
      <w:r w:rsidRPr="00F51544">
        <w:rPr>
          <w:rFonts w:ascii="Open Sans" w:eastAsia="Open Sans" w:hAnsi="Open Sans" w:cs="Open Sans"/>
          <w:sz w:val="24"/>
          <w:szCs w:val="24"/>
          <w:u w:val="single"/>
        </w:rPr>
        <w:t>Directiva (UE) 2022/2041 nu stabilește salarii minime pentur fiecare stat membru, ci mecanisme de evaluare, consultare și transparență prin care statele membre pot asigura că salariile minime existente îndeplinesc obiectivul constituțional de a garanta un nivel de trai decent</w:t>
      </w:r>
      <w:r w:rsidRPr="00F51544">
        <w:rPr>
          <w:rFonts w:ascii="Open Sans" w:eastAsia="Open Sans" w:hAnsi="Open Sans" w:cs="Open Sans"/>
          <w:sz w:val="24"/>
          <w:szCs w:val="24"/>
        </w:rPr>
        <w:t>.</w:t>
      </w:r>
    </w:p>
    <w:p w14:paraId="56D10B00" w14:textId="77777777" w:rsidR="002D7D9E" w:rsidRPr="00F51544" w:rsidRDefault="00F51544">
      <w:pPr>
        <w:spacing w:before="240" w:after="240"/>
        <w:jc w:val="both"/>
        <w:rPr>
          <w:rFonts w:ascii="Open Sans" w:eastAsia="Open Sans" w:hAnsi="Open Sans" w:cs="Open Sans"/>
          <w:i/>
          <w:sz w:val="24"/>
          <w:szCs w:val="24"/>
          <w:u w:val="single"/>
        </w:rPr>
      </w:pPr>
      <w:r w:rsidRPr="00F51544">
        <w:rPr>
          <w:rFonts w:ascii="Open Sans" w:eastAsia="Open Sans" w:hAnsi="Open Sans" w:cs="Open Sans"/>
          <w:sz w:val="24"/>
          <w:szCs w:val="24"/>
        </w:rPr>
        <w:t>Articolul 5 al directivei obligă statele membre să utilizeze criterii obiective pentru determinarea salariilor minime legale, precum: puterea de cumpărare și costul vieții; nivelul general al salariilor și distribuția acestora; creșterea productivității; evoluția pe termen lung a veniturilor și prețurilor. Aceste criterii</w:t>
      </w:r>
      <w:r w:rsidRPr="00F51544">
        <w:rPr>
          <w:rFonts w:ascii="Open Sans" w:eastAsia="Open Sans" w:hAnsi="Open Sans" w:cs="Open Sans"/>
          <w:i/>
          <w:sz w:val="24"/>
          <w:szCs w:val="24"/>
        </w:rPr>
        <w:t xml:space="preserve"> nu afectează competența națională de a stabili cuantumul salariului minim</w:t>
      </w:r>
      <w:r w:rsidRPr="00F51544">
        <w:rPr>
          <w:rFonts w:ascii="Open Sans" w:eastAsia="Open Sans" w:hAnsi="Open Sans" w:cs="Open Sans"/>
          <w:sz w:val="24"/>
          <w:szCs w:val="24"/>
        </w:rPr>
        <w:t xml:space="preserve">, ci doar impun un cadru metodologic, menit să prevină arbitrarul. Mai mult, articolul 4 al directivei promovează negocierea colectivă ca mijloc preferențial de determinare a salariilor, consolidând rolul partenerilor sociali. Prin urmare, </w:t>
      </w:r>
      <w:r w:rsidRPr="00F51544">
        <w:rPr>
          <w:rFonts w:ascii="Open Sans" w:eastAsia="Open Sans" w:hAnsi="Open Sans" w:cs="Open Sans"/>
          <w:i/>
          <w:sz w:val="24"/>
          <w:szCs w:val="24"/>
          <w:u w:val="single"/>
        </w:rPr>
        <w:t>directiva nu reglementează „remunerația”, ci procesul democratic și participativ prin care aceasta este determinată, ceea ce intră în sfera clară a articolului 153 TFUE.</w:t>
      </w:r>
    </w:p>
    <w:p w14:paraId="2C9FEAF9" w14:textId="77777777" w:rsidR="002D7D9E" w:rsidRPr="00F51544" w:rsidRDefault="00F51544">
      <w:pPr>
        <w:spacing w:before="240" w:after="240"/>
        <w:jc w:val="both"/>
        <w:rPr>
          <w:rFonts w:ascii="Open Sans" w:eastAsia="Open Sans" w:hAnsi="Open Sans" w:cs="Open Sans"/>
          <w:sz w:val="24"/>
          <w:szCs w:val="24"/>
        </w:rPr>
      </w:pPr>
      <w:r w:rsidRPr="00F51544">
        <w:rPr>
          <w:rFonts w:ascii="Open Sans" w:eastAsia="Open Sans" w:hAnsi="Open Sans" w:cs="Open Sans"/>
          <w:sz w:val="24"/>
          <w:szCs w:val="24"/>
        </w:rPr>
        <w:t>Directiva (UE) 2022/2041 respectă pe deplin principiile subsidiarității și proporționalității, consacrate la articolul 5 din TUE. Acțiunea Uniunii este justificată doar acolo unde obiectivele propuse nu pot fi realizate suficient de statele membre individual. Datele statistice arată diferențe majore între statele membre în privința acoperirii negocierilor colective și a puterii de cumpărare a salariilor minime. În aceste condiții, numai o acțiune unională coordonată poate asigura coerența și transparența, f</w:t>
      </w:r>
      <w:r w:rsidRPr="00F51544">
        <w:rPr>
          <w:rFonts w:ascii="Open Sans" w:eastAsia="Open Sans" w:hAnsi="Open Sans" w:cs="Open Sans"/>
          <w:sz w:val="24"/>
          <w:szCs w:val="24"/>
        </w:rPr>
        <w:t>ără a substitui competențele naționale.</w:t>
      </w:r>
    </w:p>
    <w:p w14:paraId="51EB484B" w14:textId="77777777" w:rsidR="00CB7254" w:rsidRPr="00F51544" w:rsidRDefault="00F51544">
      <w:pPr>
        <w:spacing w:before="240" w:after="240"/>
        <w:jc w:val="both"/>
        <w:rPr>
          <w:rFonts w:ascii="Open Sans" w:eastAsia="Open Sans" w:hAnsi="Open Sans" w:cs="Open Sans"/>
          <w:sz w:val="24"/>
          <w:szCs w:val="24"/>
        </w:rPr>
      </w:pPr>
      <w:r w:rsidRPr="00F51544">
        <w:rPr>
          <w:rFonts w:ascii="Open Sans" w:eastAsia="Open Sans" w:hAnsi="Open Sans" w:cs="Open Sans"/>
          <w:sz w:val="24"/>
          <w:szCs w:val="24"/>
        </w:rPr>
        <w:t>Directiva este, totodată, o expresie a obligațiilor pozitive asumate de Uniune și de statele membre prin instrumente internaționale:</w:t>
      </w:r>
    </w:p>
    <w:p w14:paraId="0E06227C" w14:textId="4A413D83" w:rsidR="002D7D9E" w:rsidRPr="00F51544" w:rsidRDefault="00F51544">
      <w:pPr>
        <w:spacing w:before="240" w:after="240"/>
        <w:jc w:val="both"/>
        <w:rPr>
          <w:rFonts w:ascii="Open Sans" w:eastAsia="Open Sans" w:hAnsi="Open Sans" w:cs="Open Sans"/>
          <w:sz w:val="24"/>
          <w:szCs w:val="24"/>
        </w:rPr>
      </w:pPr>
      <w:r w:rsidRPr="00F51544">
        <w:rPr>
          <w:rFonts w:ascii="Open Sans" w:eastAsia="Open Sans" w:hAnsi="Open Sans" w:cs="Open Sans"/>
          <w:sz w:val="24"/>
          <w:szCs w:val="24"/>
        </w:rPr>
        <w:t xml:space="preserve"> – </w:t>
      </w:r>
      <w:r w:rsidRPr="00F51544">
        <w:rPr>
          <w:rFonts w:ascii="Open Sans" w:eastAsia="Open Sans" w:hAnsi="Open Sans" w:cs="Open Sans"/>
          <w:b/>
          <w:sz w:val="24"/>
          <w:szCs w:val="24"/>
        </w:rPr>
        <w:t>Carta Socială Europeană revizuită, articolul 4 alineatul (1)</w:t>
      </w:r>
      <w:r w:rsidRPr="00F51544">
        <w:rPr>
          <w:rFonts w:ascii="Open Sans" w:eastAsia="Open Sans" w:hAnsi="Open Sans" w:cs="Open Sans"/>
          <w:sz w:val="24"/>
          <w:szCs w:val="24"/>
        </w:rPr>
        <w:t xml:space="preserve">, recunoaște dreptul tuturor lucrătorilor la o remunerație suficientă pentru un nivel de trai </w:t>
      </w:r>
      <w:r w:rsidRPr="00F51544">
        <w:rPr>
          <w:rFonts w:ascii="Open Sans" w:eastAsia="Open Sans" w:hAnsi="Open Sans" w:cs="Open Sans"/>
          <w:sz w:val="24"/>
          <w:szCs w:val="24"/>
        </w:rPr>
        <w:lastRenderedPageBreak/>
        <w:t>decent;</w:t>
      </w:r>
      <w:r w:rsidRPr="00F51544">
        <w:rPr>
          <w:rFonts w:ascii="Open Sans" w:eastAsia="Open Sans" w:hAnsi="Open Sans" w:cs="Open Sans"/>
          <w:sz w:val="24"/>
          <w:szCs w:val="24"/>
        </w:rPr>
        <w:br/>
        <w:t xml:space="preserve"> – </w:t>
      </w:r>
      <w:r w:rsidRPr="00F51544">
        <w:rPr>
          <w:rFonts w:ascii="Open Sans" w:hAnsi="Open Sans" w:cs="Open Sans"/>
          <w:b/>
          <w:sz w:val="24"/>
          <w:szCs w:val="24"/>
        </w:rPr>
        <w:t>Convențiile OIM nr. 26/1928 și nr. 131/1970</w:t>
      </w:r>
      <w:r w:rsidRPr="00F51544">
        <w:rPr>
          <w:rFonts w:ascii="Open Sans" w:eastAsia="Open Sans" w:hAnsi="Open Sans" w:cs="Open Sans"/>
          <w:sz w:val="24"/>
          <w:szCs w:val="24"/>
        </w:rPr>
        <w:t>, privind stabilirea salariilor minime, impun statelor să instituie mecanisme eficiente de determinare a salariilor minime, prin consultarea partenerilor sociali.</w:t>
      </w:r>
    </w:p>
    <w:p w14:paraId="1C65A23A" w14:textId="77777777" w:rsidR="002D7D9E" w:rsidRPr="00F51544" w:rsidRDefault="00F51544">
      <w:pPr>
        <w:spacing w:before="240" w:after="240"/>
        <w:jc w:val="both"/>
        <w:rPr>
          <w:rFonts w:ascii="Open Sans" w:eastAsia="Open Sans" w:hAnsi="Open Sans" w:cs="Open Sans"/>
          <w:sz w:val="24"/>
          <w:szCs w:val="24"/>
        </w:rPr>
      </w:pPr>
      <w:r w:rsidRPr="00F51544">
        <w:rPr>
          <w:rFonts w:ascii="Open Sans" w:eastAsia="Open Sans" w:hAnsi="Open Sans" w:cs="Open Sans"/>
          <w:sz w:val="24"/>
          <w:szCs w:val="24"/>
        </w:rPr>
        <w:t xml:space="preserve">Directiva transpune aceste principii în ordinea juridică a Uniunii, transformând obligațiile internaționale în standarde comune, fără a aduce atingere competențelor naționale. </w:t>
      </w:r>
      <w:r w:rsidRPr="00F51544">
        <w:rPr>
          <w:rFonts w:ascii="Open Sans" w:eastAsia="Open Sans" w:hAnsi="Open Sans" w:cs="Open Sans"/>
          <w:b/>
          <w:bCs/>
          <w:sz w:val="24"/>
          <w:szCs w:val="24"/>
          <w:u w:val="single"/>
        </w:rPr>
        <w:t>În consecință, acțiunea de anulare introdusă de Danemarca și Suedia nu are fundament juridic, întrucât directiva nu depășește competențele Uniunii, ci le exercită în mod legitim și proporțional, în scopul protejării efective a lucrătorilor și al consolidării dimensiunii sociale a Uniunii Europene.</w:t>
      </w:r>
    </w:p>
    <w:p w14:paraId="020D40DF" w14:textId="77777777" w:rsidR="002D7D9E" w:rsidRPr="00F51544" w:rsidRDefault="00F51544">
      <w:pPr>
        <w:spacing w:before="240" w:after="240"/>
        <w:jc w:val="both"/>
        <w:rPr>
          <w:rFonts w:ascii="Open Sans" w:eastAsia="Open Sans" w:hAnsi="Open Sans" w:cs="Open Sans"/>
          <w:b/>
          <w:sz w:val="24"/>
          <w:szCs w:val="24"/>
        </w:rPr>
      </w:pPr>
      <w:r w:rsidRPr="00F51544">
        <w:rPr>
          <w:rFonts w:ascii="Open Sans" w:hAnsi="Open Sans" w:cs="Open Sans"/>
          <w:b/>
          <w:sz w:val="24"/>
          <w:szCs w:val="24"/>
        </w:rPr>
        <w:t xml:space="preserve">III. În ceea ce privește inadmisibilitatea și nefondarea acțiunii introduse de Danemarca </w:t>
      </w:r>
    </w:p>
    <w:p w14:paraId="517E6E85" w14:textId="77777777" w:rsidR="002D7D9E" w:rsidRPr="00F51544" w:rsidRDefault="00F51544">
      <w:pPr>
        <w:spacing w:before="240" w:after="240"/>
        <w:jc w:val="both"/>
        <w:rPr>
          <w:rFonts w:ascii="Open Sans" w:eastAsia="Open Sans" w:hAnsi="Open Sans" w:cs="Open Sans"/>
          <w:sz w:val="24"/>
          <w:szCs w:val="24"/>
        </w:rPr>
      </w:pPr>
      <w:r w:rsidRPr="00F51544">
        <w:rPr>
          <w:rFonts w:ascii="Open Sans" w:eastAsia="Open Sans" w:hAnsi="Open Sans" w:cs="Open Sans"/>
          <w:sz w:val="24"/>
          <w:szCs w:val="24"/>
        </w:rPr>
        <w:t xml:space="preserve">Acțiunea introdusă de Danemarca și susținută de Suedia împotriva Directivei (UE) 2022/2041 se bazează pe argumentul că Uniunea ar fi depășit competențele conferite prin tratate, intrând în domeniul „remunerației”, care, potrivit articolului 153 alineatul (5) TFUE, este exclus de la armonizare. Această interpretare este reductivă și eronată. Directiva nu impune praguri salariale, nu stabilește niveluri minime uniforme și nu afectează autonomia negocierii colective. Ea doar creează un cadru metodologic comun </w:t>
      </w:r>
      <w:r w:rsidRPr="00F51544">
        <w:rPr>
          <w:rFonts w:ascii="Open Sans" w:eastAsia="Open Sans" w:hAnsi="Open Sans" w:cs="Open Sans"/>
          <w:sz w:val="24"/>
          <w:szCs w:val="24"/>
        </w:rPr>
        <w:t>pentru evaluarea adecvării salariilor minime legale și pentru promovarea negocierii colective, ceea ce este perfect compatibil cu dispozițiile articolului 153 TFUE.</w:t>
      </w:r>
    </w:p>
    <w:p w14:paraId="7A62D768" w14:textId="2C25BCB7" w:rsidR="002D7D9E" w:rsidRPr="00F51544" w:rsidRDefault="00F51544">
      <w:pPr>
        <w:spacing w:before="240" w:after="240"/>
        <w:jc w:val="both"/>
        <w:rPr>
          <w:rFonts w:ascii="Open Sans" w:eastAsia="Open Sans" w:hAnsi="Open Sans" w:cs="Open Sans"/>
          <w:b/>
          <w:bCs/>
          <w:i/>
          <w:sz w:val="24"/>
          <w:szCs w:val="24"/>
        </w:rPr>
      </w:pPr>
      <w:r w:rsidRPr="00F51544">
        <w:rPr>
          <w:rFonts w:ascii="Open Sans" w:eastAsia="Open Sans" w:hAnsi="Open Sans" w:cs="Open Sans"/>
          <w:sz w:val="24"/>
          <w:szCs w:val="24"/>
        </w:rPr>
        <w:t xml:space="preserve">Mai mult, Danemarca a ratificat articolul 4 alin. (1) din Carta Socială Europeană revizuită (1996), care consacră obligația statelor de a garanta tuturor lucrătorilor un salariu suficient pentru a le asigura un nivel de trai decent. Prin această ratificare, Danemarca și-a asumat deja, la nivel </w:t>
      </w:r>
      <w:r w:rsidR="00CB7254" w:rsidRPr="00F51544">
        <w:rPr>
          <w:rFonts w:ascii="Open Sans" w:eastAsia="Open Sans" w:hAnsi="Open Sans" w:cs="Open Sans"/>
          <w:sz w:val="24"/>
          <w:szCs w:val="24"/>
        </w:rPr>
        <w:t>european</w:t>
      </w:r>
      <w:r w:rsidRPr="00F51544">
        <w:rPr>
          <w:rFonts w:ascii="Open Sans" w:eastAsia="Open Sans" w:hAnsi="Open Sans" w:cs="Open Sans"/>
          <w:sz w:val="24"/>
          <w:szCs w:val="24"/>
        </w:rPr>
        <w:t xml:space="preserve">, obligația de a asigura mecanisme eficiente pentru determinarea salariilor adecvate – obligație care este </w:t>
      </w:r>
      <w:r w:rsidRPr="00F51544">
        <w:rPr>
          <w:rFonts w:ascii="Open Sans" w:eastAsia="Open Sans" w:hAnsi="Open Sans" w:cs="Open Sans"/>
          <w:b/>
          <w:bCs/>
          <w:sz w:val="24"/>
          <w:szCs w:val="24"/>
        </w:rPr>
        <w:t xml:space="preserve">în deplină consonanță cu obiectivele Directivei (UE) 2022/2041. </w:t>
      </w:r>
      <w:r w:rsidRPr="00F51544">
        <w:rPr>
          <w:rFonts w:ascii="Open Sans" w:eastAsia="Open Sans" w:hAnsi="Open Sans" w:cs="Open Sans"/>
          <w:b/>
          <w:bCs/>
          <w:i/>
          <w:sz w:val="24"/>
          <w:szCs w:val="24"/>
        </w:rPr>
        <w:t>Prin urmare, acțiunea în anulare formulată de acest stat membru contrazice propriile sale angajamente internaționale, precum și principiul coerenței juridice a ordinii europene a drepturilor sociale.</w:t>
      </w:r>
    </w:p>
    <w:p w14:paraId="3CEEA1A0" w14:textId="77777777" w:rsidR="002D7D9E" w:rsidRPr="00F51544" w:rsidRDefault="00F51544">
      <w:pPr>
        <w:spacing w:before="240" w:after="240"/>
        <w:jc w:val="both"/>
        <w:rPr>
          <w:rFonts w:ascii="Open Sans" w:eastAsia="Open Sans" w:hAnsi="Open Sans" w:cs="Open Sans"/>
          <w:sz w:val="24"/>
          <w:szCs w:val="24"/>
        </w:rPr>
      </w:pPr>
      <w:r w:rsidRPr="00F51544">
        <w:rPr>
          <w:rFonts w:ascii="Open Sans" w:hAnsi="Open Sans" w:cs="Open Sans"/>
          <w:sz w:val="24"/>
          <w:szCs w:val="24"/>
        </w:rPr>
        <w:lastRenderedPageBreak/>
        <w:t xml:space="preserve">De asemenea, articolul 4 alineatul (3) TUE impune statelor membre o obligație de </w:t>
      </w:r>
      <w:r w:rsidRPr="00F51544">
        <w:rPr>
          <w:rFonts w:ascii="Open Sans" w:eastAsia="Open Sans" w:hAnsi="Open Sans" w:cs="Open Sans"/>
          <w:i/>
          <w:sz w:val="24"/>
          <w:szCs w:val="24"/>
        </w:rPr>
        <w:t>cooperare loială</w:t>
      </w:r>
      <w:r w:rsidRPr="00F51544">
        <w:rPr>
          <w:rFonts w:ascii="Open Sans" w:eastAsia="Open Sans" w:hAnsi="Open Sans" w:cs="Open Sans"/>
          <w:sz w:val="24"/>
          <w:szCs w:val="24"/>
        </w:rPr>
        <w:t xml:space="preserve"> cu instituțiile Uniunii, ceea ce presupune evitarea oricăror acțiuni care ar putea compromite realizarea obiectivelor Uniunii. Contestarea unei directive care transpune un principiu fundamental al Pilonului social european și care nu aduce atingere autonomiei partenerilor sociali constituie o încălcare a spiritului cooperării loiale.</w:t>
      </w:r>
    </w:p>
    <w:p w14:paraId="29BB3FE2" w14:textId="77777777" w:rsidR="002D7D9E" w:rsidRPr="00F51544" w:rsidRDefault="00F51544">
      <w:pPr>
        <w:spacing w:before="240" w:after="240"/>
        <w:jc w:val="both"/>
        <w:rPr>
          <w:rFonts w:ascii="Open Sans" w:eastAsia="Open Sans" w:hAnsi="Open Sans" w:cs="Open Sans"/>
          <w:i/>
          <w:sz w:val="24"/>
          <w:szCs w:val="24"/>
          <w:u w:val="single"/>
        </w:rPr>
      </w:pPr>
      <w:r w:rsidRPr="00F51544">
        <w:rPr>
          <w:rFonts w:ascii="Open Sans" w:eastAsia="Open Sans" w:hAnsi="Open Sans" w:cs="Open Sans"/>
          <w:sz w:val="24"/>
          <w:szCs w:val="24"/>
        </w:rPr>
        <w:t xml:space="preserve">În plus, acțiunea Danemarcei ignoră faptul că directiva prevede explicit, în considerentul (18), că aceasta „nu impune statelor membre să introducă un salariu minim legal în cazul în care acest lucru nu există”, protejând în mod expres modelele de negociere colectivă scandinave. </w:t>
      </w:r>
      <w:r w:rsidRPr="00F51544">
        <w:rPr>
          <w:rFonts w:ascii="Open Sans" w:eastAsia="Open Sans" w:hAnsi="Open Sans" w:cs="Open Sans"/>
          <w:i/>
          <w:sz w:val="24"/>
          <w:szCs w:val="24"/>
          <w:u w:val="single"/>
        </w:rPr>
        <w:t>Prin urmare, nu există nicio ingerință în autonomia partenerilor sociali, ci doar o cerință de transparență și raportare privind acoperirea negocierii colective.</w:t>
      </w:r>
    </w:p>
    <w:p w14:paraId="0F8E82E4" w14:textId="77777777" w:rsidR="002D7D9E" w:rsidRPr="00F51544" w:rsidRDefault="002D7D9E">
      <w:pPr>
        <w:spacing w:before="240" w:after="240"/>
        <w:jc w:val="both"/>
        <w:rPr>
          <w:rFonts w:ascii="Open Sans" w:eastAsia="Open Sans" w:hAnsi="Open Sans" w:cs="Open Sans"/>
          <w:i/>
          <w:sz w:val="24"/>
          <w:szCs w:val="24"/>
          <w:u w:val="single"/>
        </w:rPr>
      </w:pPr>
    </w:p>
    <w:p w14:paraId="69402ABC" w14:textId="77777777" w:rsidR="002D7D9E" w:rsidRPr="00F51544" w:rsidRDefault="00F51544">
      <w:pPr>
        <w:spacing w:before="240" w:after="240"/>
        <w:jc w:val="both"/>
        <w:rPr>
          <w:rFonts w:ascii="Open Sans" w:eastAsia="Open Sans" w:hAnsi="Open Sans" w:cs="Open Sans"/>
          <w:b/>
          <w:sz w:val="24"/>
          <w:szCs w:val="24"/>
        </w:rPr>
      </w:pPr>
      <w:r w:rsidRPr="00F51544">
        <w:rPr>
          <w:rFonts w:ascii="Open Sans" w:hAnsi="Open Sans" w:cs="Open Sans"/>
          <w:b/>
          <w:sz w:val="24"/>
          <w:szCs w:val="24"/>
        </w:rPr>
        <w:t>IV. Importanța directivei pentru statele membre cu dezechilibre salariale – cazul României</w:t>
      </w:r>
    </w:p>
    <w:p w14:paraId="5DB45A31" w14:textId="77777777" w:rsidR="002D7D9E" w:rsidRPr="00F51544" w:rsidRDefault="00F51544">
      <w:pPr>
        <w:spacing w:before="240" w:after="240"/>
        <w:jc w:val="both"/>
        <w:rPr>
          <w:rFonts w:ascii="Open Sans" w:eastAsia="Open Sans" w:hAnsi="Open Sans" w:cs="Open Sans"/>
          <w:sz w:val="24"/>
          <w:szCs w:val="24"/>
        </w:rPr>
      </w:pPr>
      <w:r w:rsidRPr="00F51544">
        <w:rPr>
          <w:rFonts w:ascii="Open Sans" w:eastAsia="Open Sans" w:hAnsi="Open Sans" w:cs="Open Sans"/>
          <w:sz w:val="24"/>
          <w:szCs w:val="24"/>
        </w:rPr>
        <w:t>Pentru numeroase state membre ale Uniunii, în special cele din Europa Centrală și de Est, Directiva (UE) 2022/2041 nu este doar un instrument de coordonare legislativă, ci un mecanism de echilibru social, menit să corecteze decalajele structurale acumulate în ultimele două decenii în materie de salarii, productivitate și protecție socială.</w:t>
      </w:r>
    </w:p>
    <w:p w14:paraId="6AF4F938" w14:textId="77777777" w:rsidR="002D7D9E" w:rsidRPr="00F51544" w:rsidRDefault="00F51544">
      <w:pPr>
        <w:spacing w:before="240" w:after="240"/>
        <w:jc w:val="both"/>
        <w:rPr>
          <w:rFonts w:ascii="Open Sans" w:eastAsia="Open Sans" w:hAnsi="Open Sans" w:cs="Open Sans"/>
          <w:sz w:val="24"/>
          <w:szCs w:val="24"/>
        </w:rPr>
      </w:pPr>
      <w:r w:rsidRPr="00F51544">
        <w:rPr>
          <w:rFonts w:ascii="Open Sans" w:eastAsia="Open Sans" w:hAnsi="Open Sans" w:cs="Open Sans"/>
          <w:sz w:val="24"/>
          <w:szCs w:val="24"/>
        </w:rPr>
        <w:t>În România, stabilirea salariului minim brut pe economie s-a realizat, de-a lungul timpului, prin decizie administrativă unilaterală, fără criterii economice obiective, fără corelare cu costul vieții și fără o consultare socială reală a partenerilor sociali. Deși Codul muncii</w:t>
      </w:r>
      <w:r w:rsidRPr="00F51544">
        <w:rPr>
          <w:rFonts w:ascii="Open Sans" w:eastAsia="Open Sans" w:hAnsi="Open Sans" w:cs="Open Sans"/>
          <w:sz w:val="24"/>
          <w:szCs w:val="24"/>
          <w:vertAlign w:val="superscript"/>
        </w:rPr>
        <w:footnoteReference w:id="5"/>
      </w:r>
      <w:r w:rsidRPr="00F51544">
        <w:rPr>
          <w:rFonts w:ascii="Open Sans" w:hAnsi="Open Sans" w:cs="Open Sans"/>
          <w:sz w:val="24"/>
          <w:szCs w:val="24"/>
        </w:rPr>
        <w:t xml:space="preserve"> și Legea dialogului social</w:t>
      </w:r>
      <w:r w:rsidRPr="00F51544">
        <w:rPr>
          <w:rFonts w:ascii="Open Sans" w:eastAsia="Open Sans" w:hAnsi="Open Sans" w:cs="Open Sans"/>
          <w:sz w:val="24"/>
          <w:szCs w:val="24"/>
          <w:vertAlign w:val="superscript"/>
        </w:rPr>
        <w:footnoteReference w:id="6"/>
      </w:r>
      <w:r w:rsidRPr="00F51544">
        <w:rPr>
          <w:rFonts w:ascii="Open Sans" w:eastAsia="Open Sans" w:hAnsi="Open Sans" w:cs="Open Sans"/>
          <w:sz w:val="24"/>
          <w:szCs w:val="24"/>
        </w:rPr>
        <w:t xml:space="preserve"> prevede consultarea sindicatelor și patronatelor, practica a demonstrat că procesul de determinare a salariului minim a fost în mod constant politizat, iar nivelul său a fost stabilit mai degrabă în funcție de constrângeri bugetare decât de indicatori socio-economici.</w:t>
      </w:r>
    </w:p>
    <w:p w14:paraId="5309B701" w14:textId="77777777" w:rsidR="002D7D9E" w:rsidRPr="00F51544" w:rsidRDefault="00F51544">
      <w:pPr>
        <w:spacing w:before="240" w:after="240"/>
        <w:jc w:val="both"/>
        <w:rPr>
          <w:rFonts w:ascii="Open Sans" w:eastAsia="Open Sans" w:hAnsi="Open Sans" w:cs="Open Sans"/>
          <w:sz w:val="24"/>
          <w:szCs w:val="24"/>
        </w:rPr>
      </w:pPr>
      <w:r w:rsidRPr="00F51544">
        <w:rPr>
          <w:rFonts w:ascii="Open Sans" w:eastAsia="Open Sans" w:hAnsi="Open Sans" w:cs="Open Sans"/>
          <w:sz w:val="24"/>
          <w:szCs w:val="24"/>
        </w:rPr>
        <w:lastRenderedPageBreak/>
        <w:t xml:space="preserve">În lipsa unor criterii legale, România a înregistrat o creștere nominală a salariului minim care nu s-a tradus într-o creștere corespunzătoare a puteri de cumpărare. Conform datelor Eurostat și Eurofound, salariul minim brut din România a crescut între 2010 și 2023, însă inflația cumulată în același interval a limitat semnificativ creșterea reală a puterii de cumpărare a lucrătorilor plătiți la nivelul minimului legal. </w:t>
      </w:r>
      <w:r w:rsidRPr="00F51544">
        <w:rPr>
          <w:rFonts w:ascii="Open Sans" w:eastAsia="Open Sans" w:hAnsi="Open Sans" w:cs="Open Sans"/>
          <w:b/>
          <w:sz w:val="24"/>
          <w:szCs w:val="24"/>
          <w:u w:val="single"/>
        </w:rPr>
        <w:t>Cea mai ridicată valoare a ponderii persoanelor aflate în risc de sărăcie și excludere socială a fost înregistrată în România - 32% în 2023, aceasta situându-se pe primul loc în Uniunea Europeană la acest indicator</w:t>
      </w:r>
      <w:r w:rsidRPr="00F51544">
        <w:rPr>
          <w:rFonts w:ascii="Open Sans" w:eastAsia="Open Sans" w:hAnsi="Open Sans" w:cs="Open Sans"/>
          <w:b/>
          <w:sz w:val="24"/>
          <w:szCs w:val="24"/>
          <w:u w:val="single"/>
          <w:vertAlign w:val="superscript"/>
        </w:rPr>
        <w:footnoteReference w:id="7"/>
      </w:r>
      <w:r w:rsidRPr="00F51544">
        <w:rPr>
          <w:rFonts w:ascii="Open Sans" w:eastAsia="Open Sans" w:hAnsi="Open Sans" w:cs="Open Sans"/>
          <w:sz w:val="24"/>
          <w:szCs w:val="24"/>
        </w:rPr>
        <w:t>. În același timp, România are una dintre cele mai scăzute rate de acoperire a negocierii colective din Europa — sub 20% — ceea ce amplifică inegalitățile salariale și reduce capacitatea lucrătorilor de a negocia condiții de muncă echitabile.</w:t>
      </w:r>
    </w:p>
    <w:p w14:paraId="36BE7D4D" w14:textId="77777777" w:rsidR="002D7D9E" w:rsidRPr="00F51544" w:rsidRDefault="00F51544">
      <w:pPr>
        <w:spacing w:before="240" w:after="240"/>
        <w:jc w:val="both"/>
        <w:rPr>
          <w:rFonts w:ascii="Open Sans" w:eastAsia="Open Sans" w:hAnsi="Open Sans" w:cs="Open Sans"/>
          <w:sz w:val="24"/>
          <w:szCs w:val="24"/>
        </w:rPr>
      </w:pPr>
      <w:r w:rsidRPr="00F51544">
        <w:rPr>
          <w:rFonts w:ascii="Open Sans" w:eastAsia="Open Sans" w:hAnsi="Open Sans" w:cs="Open Sans"/>
          <w:sz w:val="24"/>
          <w:szCs w:val="24"/>
        </w:rPr>
        <w:t>În acest context, Directiva (UE) 2022/2041 oferă pentru prima dată un cadru juridic coerent pentru stabilirea salariului minim pe baza unor criterii obiective, verificabile și transparente. Aceste criterii asigură o corelare între evoluția salariului minim și realitățile economice, eliminând posibilitatea stabilirii arbitrare. În plus, articolul 10 al directivei introduce obligația de monitorizare periodică, pentru ca salariul minim să rămână adecvat în timp. Totodată, articolul 4 încurajează statele membre</w:t>
      </w:r>
      <w:r w:rsidRPr="00F51544">
        <w:rPr>
          <w:rFonts w:ascii="Open Sans" w:eastAsia="Open Sans" w:hAnsi="Open Sans" w:cs="Open Sans"/>
          <w:sz w:val="24"/>
          <w:szCs w:val="24"/>
        </w:rPr>
        <w:t xml:space="preserve"> să promoveze negocierea colectivă ca instrument de formare a salariilor, ceea ce reprezintă pentru România o direcție esențială pentru relansarea dialogului social, grav deteriorat în ultimul deceniu. </w:t>
      </w:r>
    </w:p>
    <w:p w14:paraId="44D9C7F1" w14:textId="77777777" w:rsidR="002D7D9E" w:rsidRPr="00F51544" w:rsidRDefault="00F51544">
      <w:pPr>
        <w:spacing w:before="240" w:after="240"/>
        <w:jc w:val="both"/>
        <w:rPr>
          <w:rFonts w:ascii="Open Sans" w:eastAsia="Open Sans" w:hAnsi="Open Sans" w:cs="Open Sans"/>
          <w:sz w:val="24"/>
          <w:szCs w:val="24"/>
        </w:rPr>
      </w:pPr>
      <w:r w:rsidRPr="00F51544">
        <w:rPr>
          <w:rFonts w:ascii="Open Sans" w:eastAsia="Open Sans" w:hAnsi="Open Sans" w:cs="Open Sans"/>
          <w:sz w:val="24"/>
          <w:szCs w:val="24"/>
        </w:rPr>
        <w:t>Prin urmare, Directiva (UE) 2022/2041 nu afectează libertatea guvernelor naționale, ci introduce reguli de bună guvernanță socială, bazate pe transparență, consultare și coerență economică.</w:t>
      </w:r>
    </w:p>
    <w:p w14:paraId="71D841A3" w14:textId="77777777" w:rsidR="002D7D9E" w:rsidRPr="00F51544" w:rsidRDefault="00F51544">
      <w:pPr>
        <w:spacing w:before="240" w:after="240"/>
        <w:jc w:val="both"/>
        <w:rPr>
          <w:rFonts w:ascii="Open Sans" w:eastAsia="Open Sans" w:hAnsi="Open Sans" w:cs="Open Sans"/>
          <w:sz w:val="24"/>
          <w:szCs w:val="24"/>
        </w:rPr>
      </w:pPr>
      <w:r w:rsidRPr="00F51544">
        <w:rPr>
          <w:rFonts w:ascii="Open Sans" w:eastAsia="Open Sans" w:hAnsi="Open Sans" w:cs="Open Sans"/>
          <w:sz w:val="24"/>
          <w:szCs w:val="24"/>
        </w:rPr>
        <w:t>Aplicarea directivei are efecte directe asupra reducerii sărăciei în muncă, a migrației economice și a fragmentării pieței muncii în statele membre mai puțin dezvoltate. În România, peste un milion de lucrători — adică aproape un sfert din totalul lucrătorilor — sunt remunerați la nivelul salariului minim, potrivit datelor Institutului Național de Statistică. Pentru acești lucrători, un mecanism transparent de ajustare a salariului minim este singura garanție reală a unui nivel de trai decent.</w:t>
      </w:r>
    </w:p>
    <w:p w14:paraId="105B094C" w14:textId="77777777" w:rsidR="002D7D9E" w:rsidRPr="00F51544" w:rsidRDefault="00F51544">
      <w:pPr>
        <w:spacing w:before="240" w:after="240"/>
        <w:jc w:val="both"/>
        <w:rPr>
          <w:rFonts w:ascii="Open Sans" w:eastAsia="Open Sans" w:hAnsi="Open Sans" w:cs="Open Sans"/>
          <w:sz w:val="24"/>
          <w:szCs w:val="24"/>
        </w:rPr>
      </w:pPr>
      <w:r w:rsidRPr="00F51544">
        <w:rPr>
          <w:rFonts w:ascii="Open Sans" w:eastAsia="Open Sans" w:hAnsi="Open Sans" w:cs="Open Sans"/>
          <w:sz w:val="24"/>
          <w:szCs w:val="24"/>
        </w:rPr>
        <w:lastRenderedPageBreak/>
        <w:t>În absența directivei, procesul de stabilire a salariului minim ar rămâne supus hazardului politic, iar sărăcia în muncă ar continua să se adâncească. O eventuală anulare a directivei ar elimina singurul instrument juridic european care obligă statele membre să analizeze în mod transparent și predictibil corelația dintre salariu, costul vieții și productivitate — punând în pericol dreptul la un nivel de trai decent.</w:t>
      </w:r>
    </w:p>
    <w:p w14:paraId="0F805E7C" w14:textId="77777777" w:rsidR="002D7D9E" w:rsidRPr="00F51544" w:rsidRDefault="00F51544">
      <w:pPr>
        <w:spacing w:before="240" w:after="240"/>
        <w:jc w:val="both"/>
        <w:rPr>
          <w:rFonts w:ascii="Open Sans" w:eastAsia="Open Sans" w:hAnsi="Open Sans" w:cs="Open Sans"/>
          <w:sz w:val="24"/>
          <w:szCs w:val="24"/>
        </w:rPr>
      </w:pPr>
      <w:r w:rsidRPr="00F51544">
        <w:rPr>
          <w:rFonts w:ascii="Open Sans" w:eastAsia="Open Sans" w:hAnsi="Open Sans" w:cs="Open Sans"/>
          <w:sz w:val="24"/>
          <w:szCs w:val="24"/>
        </w:rPr>
        <w:t>Dincolo de efectele economice, directiva are o semnificație politică majoră: ea contribuie la reconstruirea încrederii cetățenilor în proiectul european, prin demonstrarea faptului că integrarea nu este doar o chestiune de piețe și capital, ci și de echitate socială și solidaritate între statele membre.</w:t>
      </w:r>
    </w:p>
    <w:p w14:paraId="4AB58586" w14:textId="77777777" w:rsidR="002D7D9E" w:rsidRPr="00F51544" w:rsidRDefault="00F51544">
      <w:pPr>
        <w:spacing w:before="240" w:after="240"/>
        <w:jc w:val="both"/>
        <w:rPr>
          <w:rFonts w:ascii="Open Sans" w:eastAsia="Open Sans" w:hAnsi="Open Sans" w:cs="Open Sans"/>
          <w:sz w:val="24"/>
          <w:szCs w:val="24"/>
        </w:rPr>
      </w:pPr>
      <w:r w:rsidRPr="00F51544">
        <w:rPr>
          <w:rFonts w:ascii="Open Sans" w:eastAsia="Open Sans" w:hAnsi="Open Sans" w:cs="Open Sans"/>
          <w:sz w:val="24"/>
          <w:szCs w:val="24"/>
        </w:rPr>
        <w:t>În absența directivei, România ar reveni la practica discreționară a stabilirii salariului minim „din pix”, fără criterii economice, fără consultare socială reală și fără garanția unui nivel de trai decent. Aceasta ar accentua sărăcia în muncă, ar stimula migrația forței de muncă către vestul Europei și ar adânci decalajele sociale și teritoriale, contrar obiectivelor fundamentale ale Uniunii.</w:t>
      </w:r>
    </w:p>
    <w:p w14:paraId="30D054A6" w14:textId="77777777" w:rsidR="002D7D9E" w:rsidRPr="00F51544" w:rsidRDefault="00F51544">
      <w:pPr>
        <w:spacing w:before="240" w:after="240"/>
        <w:jc w:val="both"/>
        <w:rPr>
          <w:rFonts w:ascii="Open Sans" w:eastAsia="Open Sans" w:hAnsi="Open Sans" w:cs="Open Sans"/>
          <w:sz w:val="24"/>
          <w:szCs w:val="24"/>
          <w:u w:val="single"/>
        </w:rPr>
      </w:pPr>
      <w:r w:rsidRPr="00F51544">
        <w:rPr>
          <w:rFonts w:ascii="Open Sans" w:eastAsia="Open Sans" w:hAnsi="Open Sans" w:cs="Open Sans"/>
          <w:sz w:val="24"/>
          <w:szCs w:val="24"/>
          <w:u w:val="single"/>
        </w:rPr>
        <w:t>Mai mult, un asemenea precedent ar trimite un semnal negativ statelor din estul Europei, care ar putea percepe Uniunea ca fiind indiferentă la dimensiunea socială a integrării, ceea ce ar afecta credibilitatea instituțiilor europene și ar slăbi coeziunea politică a Uniunii.</w:t>
      </w:r>
    </w:p>
    <w:p w14:paraId="434C3E85" w14:textId="77777777" w:rsidR="002D7D9E" w:rsidRPr="00F51544" w:rsidRDefault="00F51544">
      <w:pPr>
        <w:spacing w:before="240" w:after="240"/>
        <w:jc w:val="both"/>
        <w:rPr>
          <w:rFonts w:ascii="Open Sans" w:eastAsia="Open Sans" w:hAnsi="Open Sans" w:cs="Open Sans"/>
          <w:sz w:val="24"/>
          <w:szCs w:val="24"/>
        </w:rPr>
      </w:pPr>
      <w:r w:rsidRPr="00F51544">
        <w:rPr>
          <w:rFonts w:ascii="Open Sans" w:hAnsi="Open Sans" w:cs="Open Sans"/>
          <w:sz w:val="24"/>
          <w:szCs w:val="24"/>
        </w:rPr>
        <w:t xml:space="preserve">Prin urmare, anularea Directivei (UE) 2022/2041 ar reprezenta un dezastru social și economic, afectând nu doar România, ci și întreaga coeziune a Uniunii Europene. </w:t>
      </w:r>
    </w:p>
    <w:p w14:paraId="5F074277" w14:textId="77777777" w:rsidR="002D7D9E" w:rsidRPr="00F51544" w:rsidRDefault="00F51544">
      <w:pPr>
        <w:spacing w:before="240" w:after="240"/>
        <w:jc w:val="both"/>
        <w:rPr>
          <w:rFonts w:ascii="Open Sans" w:eastAsia="Open Sans" w:hAnsi="Open Sans" w:cs="Open Sans"/>
          <w:b/>
          <w:sz w:val="24"/>
          <w:szCs w:val="24"/>
        </w:rPr>
      </w:pPr>
      <w:r w:rsidRPr="00F51544">
        <w:rPr>
          <w:rFonts w:ascii="Open Sans" w:eastAsia="Open Sans" w:hAnsi="Open Sans" w:cs="Open Sans"/>
          <w:b/>
          <w:sz w:val="24"/>
          <w:szCs w:val="24"/>
        </w:rPr>
        <w:t>V. Concluzii</w:t>
      </w:r>
    </w:p>
    <w:p w14:paraId="348DBA61" w14:textId="77777777" w:rsidR="002D7D9E" w:rsidRPr="00F51544" w:rsidRDefault="00F51544">
      <w:pPr>
        <w:spacing w:before="240" w:after="240"/>
        <w:jc w:val="both"/>
        <w:rPr>
          <w:rFonts w:ascii="Open Sans" w:eastAsia="Open Sans" w:hAnsi="Open Sans" w:cs="Open Sans"/>
          <w:b/>
          <w:i/>
          <w:sz w:val="24"/>
          <w:szCs w:val="24"/>
          <w:u w:val="single"/>
        </w:rPr>
      </w:pPr>
      <w:r w:rsidRPr="00F51544">
        <w:rPr>
          <w:rFonts w:ascii="Open Sans" w:eastAsia="Open Sans" w:hAnsi="Open Sans" w:cs="Open Sans"/>
          <w:sz w:val="24"/>
          <w:szCs w:val="24"/>
        </w:rPr>
        <w:t xml:space="preserve">Examinând conținutul, obiectivele și fundamentul juridic al Directivei (UE) 2022/2041 privind salariile minime adecvate în Uniunea Europeană, rezultă fără echivoc că </w:t>
      </w:r>
      <w:r w:rsidRPr="00F51544">
        <w:rPr>
          <w:rFonts w:ascii="Open Sans" w:eastAsia="Open Sans" w:hAnsi="Open Sans" w:cs="Open Sans"/>
          <w:b/>
          <w:i/>
          <w:sz w:val="24"/>
          <w:szCs w:val="24"/>
          <w:u w:val="single"/>
        </w:rPr>
        <w:t>acest act nu depășește competențele atribuite Uniunii prin tratate, ci le valorifică în mod legitim, proporțional și coerent, în scopul îndeplinirii misiunii prevăzute de articolul 3 din Tratatul privind Uniunea Europeană: construirea unei economii sociale de piață orientate spre progres social și ocupare deplină.</w:t>
      </w:r>
    </w:p>
    <w:p w14:paraId="3C33EB56" w14:textId="77777777" w:rsidR="002D7D9E" w:rsidRPr="00F51544" w:rsidRDefault="00F51544">
      <w:pPr>
        <w:spacing w:before="240" w:after="240"/>
        <w:jc w:val="both"/>
        <w:rPr>
          <w:rFonts w:ascii="Open Sans" w:eastAsia="Open Sans" w:hAnsi="Open Sans" w:cs="Open Sans"/>
          <w:sz w:val="24"/>
          <w:szCs w:val="24"/>
        </w:rPr>
      </w:pPr>
      <w:r w:rsidRPr="00F51544">
        <w:rPr>
          <w:rFonts w:ascii="Open Sans" w:eastAsia="Open Sans" w:hAnsi="Open Sans" w:cs="Open Sans"/>
          <w:sz w:val="24"/>
          <w:szCs w:val="24"/>
        </w:rPr>
        <w:lastRenderedPageBreak/>
        <w:t>Directiva se înscrie în linia tradițională a jurisprudenței</w:t>
      </w:r>
      <w:r w:rsidRPr="00F51544">
        <w:rPr>
          <w:rFonts w:ascii="Open Sans" w:eastAsia="Open Sans" w:hAnsi="Open Sans" w:cs="Open Sans"/>
          <w:sz w:val="24"/>
          <w:szCs w:val="24"/>
          <w:vertAlign w:val="superscript"/>
        </w:rPr>
        <w:footnoteReference w:id="8"/>
      </w:r>
      <w:r w:rsidRPr="00F51544">
        <w:rPr>
          <w:rFonts w:ascii="Open Sans" w:eastAsia="Open Sans" w:hAnsi="Open Sans" w:cs="Open Sans"/>
          <w:sz w:val="24"/>
          <w:szCs w:val="24"/>
        </w:rPr>
        <w:t xml:space="preserve"> Curții de Justiție a Uniunii Europene, care a recunoscut constant că obiectivul politicii sociale europene este protejarea demnității lucrătorilor și garantarea unor condiții echitabile de muncă, chiar și atunci când măsurile adoptate au efecte indirecte asupra </w:t>
      </w:r>
      <w:r w:rsidRPr="00F51544">
        <w:rPr>
          <w:rFonts w:ascii="Open Sans" w:hAnsi="Open Sans" w:cs="Open Sans"/>
          <w:i/>
          <w:sz w:val="24"/>
          <w:szCs w:val="24"/>
        </w:rPr>
        <w:t>remunerației</w:t>
      </w:r>
      <w:r w:rsidRPr="00F51544">
        <w:rPr>
          <w:rFonts w:ascii="Open Sans" w:eastAsia="Open Sans" w:hAnsi="Open Sans" w:cs="Open Sans"/>
          <w:sz w:val="24"/>
          <w:szCs w:val="24"/>
        </w:rPr>
        <w:t>. Ea nu armonizează salariile, nu impune un nivel unic, nu afectează modelele naționale de negociere colectivă, ci creează un cadru procedural comun care asigură transparență, predictibilitate și echitate în procesul de stabilire a salar</w:t>
      </w:r>
      <w:r w:rsidRPr="00F51544">
        <w:rPr>
          <w:rFonts w:ascii="Open Sans" w:eastAsia="Open Sans" w:hAnsi="Open Sans" w:cs="Open Sans"/>
          <w:sz w:val="24"/>
          <w:szCs w:val="24"/>
        </w:rPr>
        <w:t>iilor minime.</w:t>
      </w:r>
    </w:p>
    <w:p w14:paraId="2ED822C0" w14:textId="77777777" w:rsidR="002D7D9E" w:rsidRPr="00F51544" w:rsidRDefault="00F51544">
      <w:pPr>
        <w:spacing w:before="240" w:after="240"/>
        <w:jc w:val="both"/>
        <w:rPr>
          <w:rFonts w:ascii="Open Sans" w:eastAsia="Open Sans" w:hAnsi="Open Sans" w:cs="Open Sans"/>
          <w:sz w:val="24"/>
          <w:szCs w:val="24"/>
        </w:rPr>
      </w:pPr>
      <w:r w:rsidRPr="00F51544">
        <w:rPr>
          <w:rFonts w:ascii="Open Sans" w:eastAsia="Open Sans" w:hAnsi="Open Sans" w:cs="Open Sans"/>
          <w:sz w:val="24"/>
          <w:szCs w:val="24"/>
        </w:rPr>
        <w:t>Prin promovarea unor criterii obiective de adecvare, prin consolidarea negocierii colective și prin instituirea obligației de consultare a partenerilor sociali, directiva contribuie direct la întărirea dialogului social european, în deplină conformitate cu articolele 151–153 TFUE, cu Carta Drepturilor Fundamentale a Uniunii Europene și cu Carta Socială Europeană revizuită. Ea reprezintă o transpunere juridică a principiilor Pilonului european al drepturilor sociale, aprobat în unanimitate de toate statele m</w:t>
      </w:r>
      <w:r w:rsidRPr="00F51544">
        <w:rPr>
          <w:rFonts w:ascii="Open Sans" w:eastAsia="Open Sans" w:hAnsi="Open Sans" w:cs="Open Sans"/>
          <w:sz w:val="24"/>
          <w:szCs w:val="24"/>
        </w:rPr>
        <w:t>embre și reafirmat prin Planul de acțiune de la Porto (2021).</w:t>
      </w:r>
    </w:p>
    <w:p w14:paraId="34B9F7CB" w14:textId="77777777" w:rsidR="002D7D9E" w:rsidRPr="00F51544" w:rsidRDefault="00F51544">
      <w:pPr>
        <w:spacing w:before="240" w:after="240"/>
        <w:jc w:val="both"/>
        <w:rPr>
          <w:rFonts w:ascii="Open Sans" w:eastAsia="Open Sans" w:hAnsi="Open Sans" w:cs="Open Sans"/>
          <w:sz w:val="24"/>
          <w:szCs w:val="24"/>
        </w:rPr>
      </w:pPr>
      <w:r w:rsidRPr="00F51544">
        <w:rPr>
          <w:rFonts w:ascii="Open Sans" w:eastAsia="Open Sans" w:hAnsi="Open Sans" w:cs="Open Sans"/>
          <w:sz w:val="24"/>
          <w:szCs w:val="24"/>
        </w:rPr>
        <w:t xml:space="preserve">Din perspectivă juridică, acțiunea introdusă de Regatul Danemarcei și Regatul Suediei este neîntemeiată, întrucât confundă nivelul </w:t>
      </w:r>
      <w:r w:rsidRPr="00F51544">
        <w:rPr>
          <w:rFonts w:ascii="Open Sans" w:hAnsi="Open Sans" w:cs="Open Sans"/>
          <w:i/>
          <w:sz w:val="24"/>
          <w:szCs w:val="24"/>
        </w:rPr>
        <w:t xml:space="preserve">remunerației </w:t>
      </w:r>
      <w:r w:rsidRPr="00F51544">
        <w:rPr>
          <w:rFonts w:ascii="Open Sans" w:eastAsia="Open Sans" w:hAnsi="Open Sans" w:cs="Open Sans"/>
          <w:sz w:val="24"/>
          <w:szCs w:val="24"/>
        </w:rPr>
        <w:t>– care rămâne de competență națională – cu mecanismele de determinare a salariilor și criteriile de adecvare, domenii ce se încadrează explicit în competența partajată a Uniunii. O interpretare excesiv de restrictivă a articolului 153 alineatul (5) TFUE ar paraliza evoluția dimensiunii sociale a Uniunii, transformând excluderea remunerației într-un obstacol absolut, contrar spiritului tratatelor.</w:t>
      </w:r>
    </w:p>
    <w:p w14:paraId="5D63EAA1" w14:textId="77777777" w:rsidR="002D7D9E" w:rsidRPr="00F51544" w:rsidRDefault="00F51544">
      <w:pPr>
        <w:spacing w:before="240" w:after="240"/>
        <w:jc w:val="both"/>
        <w:rPr>
          <w:rFonts w:ascii="Open Sans" w:eastAsia="Open Sans" w:hAnsi="Open Sans" w:cs="Open Sans"/>
          <w:sz w:val="24"/>
          <w:szCs w:val="24"/>
        </w:rPr>
      </w:pPr>
      <w:r w:rsidRPr="00F51544">
        <w:rPr>
          <w:rFonts w:ascii="Open Sans" w:eastAsia="Open Sans" w:hAnsi="Open Sans" w:cs="Open Sans"/>
          <w:sz w:val="24"/>
          <w:szCs w:val="24"/>
        </w:rPr>
        <w:t>Blocul Național Sindical consideră că anularea acestui act ar reprezenta un regres istoric, în contradicție cu evoluția dreptului social european și cu valorile înscrise în Tratatul privind Uniunea Europeană. Menținerea directivei, dimpotrivă, ar confirma maturitatea juridică și politică a Uniunii, reafirmând principiul fundamental potrivit căruia integrarea economică nu poate fi separată de protecția socială și de respectul pentru demnitatea lucrătorului.</w:t>
      </w:r>
    </w:p>
    <w:p w14:paraId="5D2D120E" w14:textId="77777777" w:rsidR="002D7D9E" w:rsidRPr="00F51544" w:rsidRDefault="00F51544">
      <w:pPr>
        <w:spacing w:before="240" w:after="240"/>
        <w:jc w:val="both"/>
        <w:rPr>
          <w:rFonts w:ascii="Open Sans" w:eastAsia="Open Sans" w:hAnsi="Open Sans" w:cs="Open Sans"/>
          <w:b/>
          <w:sz w:val="24"/>
          <w:szCs w:val="24"/>
        </w:rPr>
      </w:pPr>
      <w:r w:rsidRPr="00F51544">
        <w:rPr>
          <w:rFonts w:ascii="Open Sans" w:eastAsia="Open Sans" w:hAnsi="Open Sans" w:cs="Open Sans"/>
          <w:b/>
          <w:sz w:val="24"/>
          <w:szCs w:val="24"/>
        </w:rPr>
        <w:lastRenderedPageBreak/>
        <w:t>În numele lucrătorilor pe care îi reprezintă, Blocul Național Sindical își exprimă sprijinul deplin pentru menținerea în vigoare și aplicarea efectivă a Directivei (UE) 2022/2041, ca instrument indispensabil al echilibrului dintre libertățile economice și protecția socială, al progresului social și al demnității muncii în întreaga Uniune Europeană.</w:t>
      </w:r>
    </w:p>
    <w:p w14:paraId="251A8EAF" w14:textId="77777777" w:rsidR="002D7D9E" w:rsidRPr="00F51544" w:rsidRDefault="00F51544">
      <w:pPr>
        <w:spacing w:before="240" w:after="240"/>
        <w:jc w:val="both"/>
        <w:rPr>
          <w:rFonts w:ascii="Open Sans" w:eastAsia="Open Sans" w:hAnsi="Open Sans" w:cs="Open Sans"/>
          <w:sz w:val="24"/>
          <w:szCs w:val="24"/>
        </w:rPr>
      </w:pPr>
      <w:r w:rsidRPr="00F51544">
        <w:rPr>
          <w:rFonts w:ascii="Open Sans" w:eastAsia="Open Sans" w:hAnsi="Open Sans" w:cs="Open Sans"/>
          <w:sz w:val="24"/>
          <w:szCs w:val="24"/>
        </w:rPr>
        <w:t>Cu încrederea că aceste considerații vor contribui la o reflecție echilibrată asupra importanței acestui act normativ pentru prezentul și viitorul Europei sociale, vă rugăm să primiți expresia deplinei noastre considerații.</w:t>
      </w:r>
    </w:p>
    <w:p w14:paraId="06E0A320" w14:textId="77777777" w:rsidR="002D7D9E" w:rsidRPr="00F51544" w:rsidRDefault="00F51544">
      <w:pPr>
        <w:spacing w:before="240" w:after="240"/>
        <w:jc w:val="center"/>
        <w:rPr>
          <w:rFonts w:ascii="Open Sans" w:eastAsia="Open Sans" w:hAnsi="Open Sans" w:cs="Open Sans"/>
          <w:b/>
          <w:sz w:val="24"/>
          <w:szCs w:val="24"/>
        </w:rPr>
      </w:pPr>
      <w:r w:rsidRPr="00F51544">
        <w:rPr>
          <w:rFonts w:ascii="Open Sans" w:eastAsia="Open Sans" w:hAnsi="Open Sans" w:cs="Open Sans"/>
          <w:b/>
          <w:sz w:val="24"/>
          <w:szCs w:val="24"/>
        </w:rPr>
        <w:t>Dumitru Costin</w:t>
      </w:r>
    </w:p>
    <w:p w14:paraId="72DEA40A" w14:textId="77777777" w:rsidR="002D7D9E" w:rsidRPr="00F51544" w:rsidRDefault="00F51544">
      <w:pPr>
        <w:spacing w:before="240" w:after="240"/>
        <w:jc w:val="center"/>
        <w:rPr>
          <w:rFonts w:ascii="Open Sans" w:eastAsia="Open Sans" w:hAnsi="Open Sans" w:cs="Open Sans"/>
          <w:b/>
          <w:sz w:val="24"/>
          <w:szCs w:val="24"/>
        </w:rPr>
      </w:pPr>
      <w:r w:rsidRPr="00F51544">
        <w:rPr>
          <w:rFonts w:ascii="Open Sans" w:hAnsi="Open Sans" w:cs="Open Sans"/>
          <w:b/>
          <w:sz w:val="24"/>
          <w:szCs w:val="24"/>
        </w:rPr>
        <w:t>Președinte</w:t>
      </w:r>
    </w:p>
    <w:p w14:paraId="62481448" w14:textId="77777777" w:rsidR="002D7D9E" w:rsidRPr="00F51544" w:rsidRDefault="002D7D9E">
      <w:pPr>
        <w:spacing w:before="240" w:after="240"/>
        <w:ind w:left="720"/>
        <w:jc w:val="both"/>
        <w:rPr>
          <w:rFonts w:ascii="Open Sans" w:eastAsia="Open Sans" w:hAnsi="Open Sans" w:cs="Open Sans"/>
          <w:sz w:val="24"/>
          <w:szCs w:val="24"/>
        </w:rPr>
      </w:pPr>
    </w:p>
    <w:p w14:paraId="023F09B8" w14:textId="77777777" w:rsidR="002D7D9E" w:rsidRPr="00F51544" w:rsidRDefault="00F51544">
      <w:pPr>
        <w:jc w:val="both"/>
        <w:rPr>
          <w:rFonts w:ascii="Open Sans" w:eastAsia="Open Sans" w:hAnsi="Open Sans" w:cs="Open Sans"/>
          <w:sz w:val="24"/>
          <w:szCs w:val="24"/>
        </w:rPr>
      </w:pPr>
      <w:r w:rsidRPr="00F51544">
        <w:rPr>
          <w:rFonts w:ascii="Open Sans" w:hAnsi="Open Sans" w:cs="Open Sans"/>
          <w:noProof/>
        </w:rPr>
        <w:drawing>
          <wp:anchor distT="114300" distB="114300" distL="114300" distR="114300" simplePos="0" relativeHeight="251659264" behindDoc="1" locked="0" layoutInCell="1" hidden="0" allowOverlap="1" wp14:anchorId="7DF90DD3" wp14:editId="2EEB7A9F">
            <wp:simplePos x="0" y="0"/>
            <wp:positionH relativeFrom="column">
              <wp:posOffset>5276850</wp:posOffset>
            </wp:positionH>
            <wp:positionV relativeFrom="paragraph">
              <wp:posOffset>6226175</wp:posOffset>
            </wp:positionV>
            <wp:extent cx="688967" cy="688967"/>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88967" cy="688967"/>
                    </a:xfrm>
                    <a:prstGeom prst="rect">
                      <a:avLst/>
                    </a:prstGeom>
                    <a:ln/>
                  </pic:spPr>
                </pic:pic>
              </a:graphicData>
            </a:graphic>
          </wp:anchor>
        </w:drawing>
      </w:r>
    </w:p>
    <w:sectPr w:rsidR="002D7D9E" w:rsidRPr="00F51544">
      <w:headerReference w:type="default" r:id="rId9"/>
      <w:footerReference w:type="default" r:id="rId10"/>
      <w:pgSz w:w="11906" w:h="16838"/>
      <w:pgMar w:top="2267"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F432D1" w14:textId="77777777" w:rsidR="00823479" w:rsidRDefault="00823479">
      <w:pPr>
        <w:spacing w:line="240" w:lineRule="auto"/>
      </w:pPr>
      <w:r>
        <w:separator/>
      </w:r>
    </w:p>
  </w:endnote>
  <w:endnote w:type="continuationSeparator" w:id="0">
    <w:p w14:paraId="1A0B8630" w14:textId="77777777" w:rsidR="00823479" w:rsidRDefault="008234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DD6DA9CA-919C-4AFF-AC6D-80649B2E20D1}"/>
    <w:embedBold r:id="rId2" w:fontKey="{057D7396-3D2E-49A2-9265-D20169BA4AC5}"/>
    <w:embedItalic r:id="rId3" w:fontKey="{8FB9811E-A56C-46CA-B987-8A3C0EB4A61F}"/>
    <w:embedBoldItalic r:id="rId4" w:fontKey="{58184590-576C-4612-A87E-C0344D5BBE19}"/>
  </w:font>
  <w:font w:name="Calibri">
    <w:panose1 w:val="020F0502020204030204"/>
    <w:charset w:val="00"/>
    <w:family w:val="swiss"/>
    <w:pitch w:val="variable"/>
    <w:sig w:usb0="E4002EFF" w:usb1="C200247B" w:usb2="00000009" w:usb3="00000000" w:csb0="000001FF" w:csb1="00000000"/>
    <w:embedRegular r:id="rId5" w:fontKey="{88946CFA-B302-42E2-B35B-FF9FED9A211C}"/>
  </w:font>
  <w:font w:name="Cambria">
    <w:panose1 w:val="02040503050406030204"/>
    <w:charset w:val="00"/>
    <w:family w:val="roman"/>
    <w:pitch w:val="variable"/>
    <w:sig w:usb0="E00006FF" w:usb1="420024FF" w:usb2="02000000" w:usb3="00000000" w:csb0="0000019F" w:csb1="00000000"/>
    <w:embedRegular r:id="rId6" w:fontKey="{B1A0CE72-9A88-4EAB-87F4-38C57D3702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7C2B1" w14:textId="77777777" w:rsidR="002D7D9E" w:rsidRDefault="00F51544">
    <w:pPr>
      <w:jc w:val="right"/>
    </w:pPr>
    <w:r>
      <w:fldChar w:fldCharType="begin"/>
    </w:r>
    <w:r>
      <w:instrText>PAGE</w:instrText>
    </w:r>
    <w:r>
      <w:fldChar w:fldCharType="separate"/>
    </w:r>
    <w:r w:rsidR="00BC6B4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2B8CD6" w14:textId="77777777" w:rsidR="00823479" w:rsidRDefault="00823479">
      <w:pPr>
        <w:spacing w:line="240" w:lineRule="auto"/>
      </w:pPr>
      <w:r>
        <w:separator/>
      </w:r>
    </w:p>
  </w:footnote>
  <w:footnote w:type="continuationSeparator" w:id="0">
    <w:p w14:paraId="57849511" w14:textId="77777777" w:rsidR="00823479" w:rsidRDefault="00823479">
      <w:pPr>
        <w:spacing w:line="240" w:lineRule="auto"/>
      </w:pPr>
      <w:r>
        <w:continuationSeparator/>
      </w:r>
    </w:p>
  </w:footnote>
  <w:footnote w:id="1">
    <w:p w14:paraId="5E9D261A" w14:textId="77777777" w:rsidR="002D7D9E" w:rsidRDefault="00F51544">
      <w:pPr>
        <w:spacing w:line="240" w:lineRule="auto"/>
        <w:jc w:val="both"/>
        <w:rPr>
          <w:rFonts w:ascii="Open Sans" w:eastAsia="Open Sans" w:hAnsi="Open Sans" w:cs="Open Sans"/>
          <w:sz w:val="20"/>
          <w:szCs w:val="20"/>
        </w:rPr>
      </w:pPr>
      <w:r>
        <w:rPr>
          <w:vertAlign w:val="superscript"/>
        </w:rPr>
        <w:footnoteRef/>
      </w:r>
      <w:r>
        <w:rPr>
          <w:rFonts w:ascii="Open Sans" w:eastAsia="Open Sans" w:hAnsi="Open Sans" w:cs="Open Sans"/>
          <w:sz w:val="20"/>
          <w:szCs w:val="20"/>
        </w:rPr>
        <w:t xml:space="preserve"> „Carta socială europeană stabilește că toți lucrătorii au dreptul la condiții de muncă corecte. Aceasta recunoaște </w:t>
      </w:r>
      <w:r>
        <w:rPr>
          <w:rFonts w:ascii="Open Sans" w:eastAsia="Open Sans" w:hAnsi="Open Sans" w:cs="Open Sans"/>
          <w:b/>
          <w:sz w:val="20"/>
          <w:szCs w:val="20"/>
        </w:rPr>
        <w:t>dreptul tuturor lucrătorilor la o remunerație echitabilă, suficientă ca să asigure un nivel de trai decent pentru e</w:t>
      </w:r>
      <w:r>
        <w:rPr>
          <w:sz w:val="20"/>
          <w:szCs w:val="20"/>
        </w:rPr>
        <w:t>i și familiile lor. De asemenea, ea recunoaște</w:t>
      </w:r>
      <w:r>
        <w:rPr>
          <w:b/>
          <w:sz w:val="20"/>
          <w:szCs w:val="20"/>
        </w:rPr>
        <w:t xml:space="preserve"> rolul convențiilor colective încheiate în mod liber, precum și pe cel al mecanismelor de stabilire a salariului minim legal…” </w:t>
      </w:r>
      <w:r>
        <w:rPr>
          <w:rFonts w:ascii="Open Sans" w:eastAsia="Open Sans" w:hAnsi="Open Sans" w:cs="Open Sans"/>
          <w:sz w:val="20"/>
          <w:szCs w:val="20"/>
        </w:rPr>
        <w:t xml:space="preserve">(considerentul (4) din Directiva (UE) 2022/2041); </w:t>
      </w:r>
      <w:r>
        <w:rPr>
          <w:rFonts w:ascii="Open Sans" w:eastAsia="Open Sans" w:hAnsi="Open Sans" w:cs="Open Sans"/>
          <w:sz w:val="20"/>
          <w:szCs w:val="20"/>
          <w:highlight w:val="white"/>
        </w:rPr>
        <w:t xml:space="preserve">Principiul nr. 6 al Pilonului european al drepturilor sociale, proclamat la Göteborg la 17 noiembrie 2017 reafirmă dreptul lucrătorilor la salarii echitabile care să asigure un nivel de trai decent; </w:t>
      </w:r>
    </w:p>
    <w:p w14:paraId="4DCBA0B1" w14:textId="77777777" w:rsidR="002D7D9E" w:rsidRDefault="002D7D9E">
      <w:pPr>
        <w:spacing w:line="240" w:lineRule="auto"/>
        <w:rPr>
          <w:rFonts w:ascii="Open Sans" w:eastAsia="Open Sans" w:hAnsi="Open Sans" w:cs="Open Sans"/>
          <w:sz w:val="20"/>
          <w:szCs w:val="20"/>
        </w:rPr>
      </w:pPr>
    </w:p>
  </w:footnote>
  <w:footnote w:id="2">
    <w:p w14:paraId="17E079B3" w14:textId="77777777" w:rsidR="002D7D9E" w:rsidRDefault="00F51544">
      <w:pPr>
        <w:spacing w:line="240" w:lineRule="auto"/>
        <w:rPr>
          <w:sz w:val="20"/>
          <w:szCs w:val="20"/>
        </w:rPr>
      </w:pPr>
      <w:r>
        <w:rPr>
          <w:vertAlign w:val="superscript"/>
        </w:rPr>
        <w:footnoteRef/>
      </w:r>
      <w:r>
        <w:rPr>
          <w:sz w:val="20"/>
          <w:szCs w:val="20"/>
        </w:rPr>
        <w:t xml:space="preserve"> C/2023/1389, publicată în Jurnalul Oficial al Uniunii Europene Seria C, din data de 6.12.2023: </w:t>
      </w:r>
      <w:hyperlink r:id="rId1">
        <w:r w:rsidR="002D7D9E">
          <w:rPr>
            <w:color w:val="1155CC"/>
            <w:sz w:val="20"/>
            <w:szCs w:val="20"/>
            <w:u w:val="single"/>
          </w:rPr>
          <w:t>https://eur-lex.europa.eu/search.html?scope=EURLEX&amp;text=consolidarea+dialogului+social&amp;lang=ro&amp;type=quick&amp;qid=1762249469410</w:t>
        </w:r>
      </w:hyperlink>
      <w:r>
        <w:rPr>
          <w:sz w:val="20"/>
          <w:szCs w:val="20"/>
        </w:rPr>
        <w:t xml:space="preserve"> </w:t>
      </w:r>
    </w:p>
  </w:footnote>
  <w:footnote w:id="3">
    <w:p w14:paraId="19A981E0" w14:textId="77777777" w:rsidR="002D7D9E" w:rsidRDefault="00F51544">
      <w:pPr>
        <w:spacing w:line="240" w:lineRule="auto"/>
        <w:jc w:val="both"/>
        <w:rPr>
          <w:rFonts w:ascii="Open Sans" w:eastAsia="Open Sans" w:hAnsi="Open Sans" w:cs="Open Sans"/>
          <w:sz w:val="20"/>
          <w:szCs w:val="20"/>
        </w:rPr>
      </w:pPr>
      <w:r>
        <w:rPr>
          <w:vertAlign w:val="superscript"/>
        </w:rPr>
        <w:footnoteRef/>
      </w:r>
      <w:r>
        <w:rPr>
          <w:sz w:val="20"/>
          <w:szCs w:val="20"/>
        </w:rPr>
        <w:t xml:space="preserve">  ECLI:EU:C:2008:223, pct. 108–117 și 134</w:t>
      </w:r>
    </w:p>
  </w:footnote>
  <w:footnote w:id="4">
    <w:p w14:paraId="16E82A8C" w14:textId="77777777" w:rsidR="002D7D9E" w:rsidRDefault="00F51544">
      <w:pPr>
        <w:spacing w:line="240" w:lineRule="auto"/>
        <w:rPr>
          <w:sz w:val="20"/>
          <w:szCs w:val="20"/>
        </w:rPr>
      </w:pPr>
      <w:r>
        <w:rPr>
          <w:vertAlign w:val="superscript"/>
        </w:rPr>
        <w:footnoteRef/>
      </w:r>
      <w:r>
        <w:rPr>
          <w:sz w:val="20"/>
          <w:szCs w:val="20"/>
        </w:rPr>
        <w:t xml:space="preserve">  ECLI:EU:C:2007:509, pct. 34–36 și 46</w:t>
      </w:r>
    </w:p>
  </w:footnote>
  <w:footnote w:id="5">
    <w:p w14:paraId="63B4EADD" w14:textId="77777777" w:rsidR="002D7D9E" w:rsidRDefault="00F51544">
      <w:pPr>
        <w:spacing w:line="240" w:lineRule="auto"/>
        <w:rPr>
          <w:rFonts w:ascii="Open Sans" w:eastAsia="Open Sans" w:hAnsi="Open Sans" w:cs="Open Sans"/>
          <w:sz w:val="20"/>
          <w:szCs w:val="20"/>
        </w:rPr>
      </w:pPr>
      <w:r>
        <w:rPr>
          <w:vertAlign w:val="superscript"/>
        </w:rPr>
        <w:footnoteRef/>
      </w:r>
      <w:r>
        <w:rPr>
          <w:rFonts w:ascii="Open Sans" w:eastAsia="Open Sans" w:hAnsi="Open Sans" w:cs="Open Sans"/>
          <w:sz w:val="20"/>
          <w:szCs w:val="20"/>
        </w:rPr>
        <w:t xml:space="preserve"> Legea nr.53/20023 </w:t>
      </w:r>
    </w:p>
  </w:footnote>
  <w:footnote w:id="6">
    <w:p w14:paraId="2EA30E5B" w14:textId="77777777" w:rsidR="002D7D9E" w:rsidRDefault="00F51544">
      <w:pPr>
        <w:spacing w:line="240" w:lineRule="auto"/>
        <w:rPr>
          <w:sz w:val="20"/>
          <w:szCs w:val="20"/>
        </w:rPr>
      </w:pPr>
      <w:r>
        <w:rPr>
          <w:vertAlign w:val="superscript"/>
        </w:rPr>
        <w:footnoteRef/>
      </w:r>
      <w:r>
        <w:rPr>
          <w:sz w:val="20"/>
          <w:szCs w:val="20"/>
        </w:rPr>
        <w:t xml:space="preserve"> </w:t>
      </w:r>
      <w:r>
        <w:rPr>
          <w:rFonts w:ascii="Open Sans" w:eastAsia="Open Sans" w:hAnsi="Open Sans" w:cs="Open Sans"/>
          <w:sz w:val="20"/>
          <w:szCs w:val="20"/>
        </w:rPr>
        <w:t>Legea nr.367/2022</w:t>
      </w:r>
    </w:p>
  </w:footnote>
  <w:footnote w:id="7">
    <w:p w14:paraId="406A8C61" w14:textId="77777777" w:rsidR="002D7D9E" w:rsidRDefault="00F51544">
      <w:pPr>
        <w:spacing w:line="240" w:lineRule="auto"/>
        <w:rPr>
          <w:sz w:val="20"/>
          <w:szCs w:val="20"/>
        </w:rPr>
      </w:pPr>
      <w:r>
        <w:rPr>
          <w:vertAlign w:val="superscript"/>
        </w:rPr>
        <w:footnoteRef/>
      </w:r>
      <w:r>
        <w:rPr>
          <w:sz w:val="20"/>
          <w:szCs w:val="20"/>
        </w:rPr>
        <w:t xml:space="preserve"> </w:t>
      </w:r>
      <w:hyperlink r:id="rId2">
        <w:r w:rsidR="002D7D9E">
          <w:rPr>
            <w:color w:val="1155CC"/>
            <w:sz w:val="20"/>
            <w:szCs w:val="20"/>
            <w:u w:val="single"/>
          </w:rPr>
          <w:t>https://ec.europa.eu/eurostat/web/products-eurostat-news/w/ddn-20240612-1?utm_source=chatgpt.com</w:t>
        </w:r>
      </w:hyperlink>
      <w:r>
        <w:rPr>
          <w:sz w:val="20"/>
          <w:szCs w:val="20"/>
        </w:rPr>
        <w:t xml:space="preserve"> </w:t>
      </w:r>
    </w:p>
  </w:footnote>
  <w:footnote w:id="8">
    <w:p w14:paraId="52983E7A" w14:textId="77777777" w:rsidR="002D7D9E" w:rsidRDefault="00F51544">
      <w:pPr>
        <w:spacing w:line="240" w:lineRule="auto"/>
        <w:rPr>
          <w:rFonts w:ascii="Open Sans" w:eastAsia="Open Sans" w:hAnsi="Open Sans" w:cs="Open Sans"/>
          <w:sz w:val="20"/>
          <w:szCs w:val="20"/>
        </w:rPr>
      </w:pPr>
      <w:r>
        <w:rPr>
          <w:vertAlign w:val="superscript"/>
        </w:rPr>
        <w:footnoteRef/>
      </w:r>
      <w:r>
        <w:rPr>
          <w:rFonts w:ascii="Open Sans" w:eastAsia="Open Sans" w:hAnsi="Open Sans" w:cs="Open Sans"/>
          <w:sz w:val="20"/>
          <w:szCs w:val="20"/>
        </w:rPr>
        <w:t xml:space="preserve"> CJUE, C-268/06 Impact, ECLI:EU:C:2008:223, 15 aprilie 2008 ; CJUE, C-307/05 Del Cerro Alonso, ECLI:EU:C:2007:509, 13 septembrie 2007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2BF94" w14:textId="77777777" w:rsidR="002D7D9E" w:rsidRDefault="00F51544">
    <w:r>
      <w:rPr>
        <w:noProof/>
      </w:rPr>
      <w:drawing>
        <wp:inline distT="114300" distB="114300" distL="114300" distR="114300" wp14:anchorId="2AF4A9A0" wp14:editId="071C2AA8">
          <wp:extent cx="5731200" cy="812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31200" cy="8128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1F796B"/>
    <w:multiLevelType w:val="multilevel"/>
    <w:tmpl w:val="ACACD7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487224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D9E"/>
    <w:rsid w:val="00206752"/>
    <w:rsid w:val="002D7D9E"/>
    <w:rsid w:val="0070681B"/>
    <w:rsid w:val="00823479"/>
    <w:rsid w:val="00BC6B4B"/>
    <w:rsid w:val="00CB1FA3"/>
    <w:rsid w:val="00CB7254"/>
    <w:rsid w:val="00F515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7955F"/>
  <w15:docId w15:val="{4DAB8623-33EB-450F-9A33-331A42F43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o"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ECJ-Registry@curia.europa.e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ec.europa.eu/eurostat/web/products-eurostat-news/w/ddn-20240612-1?utm_source=chatgpt.com" TargetMode="External"/><Relationship Id="rId1" Type="http://schemas.openxmlformats.org/officeDocument/2006/relationships/hyperlink" Target="https://eur-lex.europa.eu/search.html?scope=EURLEX&amp;text=consolidarea+dialogului+social&amp;lang=ro&amp;type=quick&amp;qid=176224946941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3275</Words>
  <Characters>20439</Characters>
  <Application>Microsoft Office Word</Application>
  <DocSecurity>0</DocSecurity>
  <Lines>335</Lines>
  <Paragraphs>70</Paragraphs>
  <ScaleCrop>false</ScaleCrop>
  <Company/>
  <LinksUpToDate>false</LinksUpToDate>
  <CharactersWithSpaces>23644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Casian</dc:creator>
  <cp:lastModifiedBy>Cristina Casian</cp:lastModifiedBy>
  <cp:revision>6</cp:revision>
  <dcterms:created xsi:type="dcterms:W3CDTF">2025-11-05T10:28:00Z</dcterms:created>
  <dcterms:modified xsi:type="dcterms:W3CDTF">2025-11-05T10:31:00Z</dcterms:modified>
</cp:coreProperties>
</file>